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1FF" w14:textId="77777777" w:rsidR="00A61F9D" w:rsidRDefault="00A61F9D" w:rsidP="00A61F9D">
      <w:pPr>
        <w:spacing w:after="294" w:line="259" w:lineRule="auto"/>
        <w:ind w:left="427" w:right="2310"/>
      </w:pPr>
      <w:r>
        <w:rPr>
          <w:rFonts w:ascii="Cambria" w:eastAsia="Cambria" w:hAnsi="Cambria" w:cs="Cambria"/>
          <w:b/>
          <w:i/>
          <w:color w:val="4F81BD"/>
        </w:rPr>
        <w:t>Differentiatie Otologie jaar 5</w:t>
      </w:r>
      <w:r w:rsidR="00BB7A3A">
        <w:rPr>
          <w:rFonts w:ascii="Cambria" w:eastAsia="Cambria" w:hAnsi="Cambria" w:cs="Cambria"/>
          <w:b/>
          <w:i/>
          <w:color w:val="4F81BD"/>
        </w:rPr>
        <w:t xml:space="preserve"> - CWZ</w:t>
      </w: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160BC4B8" w14:textId="77777777" w:rsidR="00A61F9D" w:rsidRDefault="00A61F9D" w:rsidP="00A61F9D">
      <w:pPr>
        <w:pStyle w:val="Kop5"/>
        <w:ind w:left="427"/>
      </w:pPr>
      <w:r>
        <w:t xml:space="preserve">Stagebeschrijving </w:t>
      </w:r>
    </w:p>
    <w:p w14:paraId="5C867958" w14:textId="77777777" w:rsidR="00A61F9D" w:rsidRDefault="00A61F9D" w:rsidP="00A61F9D">
      <w:pPr>
        <w:ind w:left="439" w:right="5"/>
      </w:pPr>
      <w:r>
        <w:t xml:space="preserve">Deze stage betreft één van de </w:t>
      </w:r>
      <w:r w:rsidR="000155F9">
        <w:t>3</w:t>
      </w:r>
      <w:r>
        <w:t xml:space="preserve"> mogelijke differentiatierichtingen </w:t>
      </w:r>
      <w:r w:rsidR="000155F9">
        <w:t xml:space="preserve">in het CWZ </w:t>
      </w:r>
      <w:r>
        <w:t xml:space="preserve">en beslaat </w:t>
      </w:r>
      <w:r w:rsidR="000155F9">
        <w:t>in principe 4</w:t>
      </w:r>
      <w:r w:rsidR="00BB7A3A">
        <w:t xml:space="preserve"> opleidingsmaanden</w:t>
      </w:r>
      <w:r>
        <w:t xml:space="preserve">. </w:t>
      </w:r>
      <w:r w:rsidR="000155F9">
        <w:t>Deze stage</w:t>
      </w:r>
      <w:r>
        <w:t xml:space="preserve"> is bedoeld om - naast het versterken van de competenties verworven tijdens de eerste vier jaar van de opleiding - een opleidingsaccent aan te brengen. Dit betreft het opdoen van extra kennis en vaardigheden in de thema’s: audiologie/gehoorrevalidatie; taal/spraakstoornissen; evenwichtsstoornissen; chronische otitis media; reconstructieve middenoorchirurgie; hersenzenuwen/schedelbasis.  </w:t>
      </w:r>
    </w:p>
    <w:p w14:paraId="2DEA0F25" w14:textId="77777777" w:rsidR="00A61F9D" w:rsidRDefault="00A61F9D" w:rsidP="00A61F9D">
      <w:pPr>
        <w:pStyle w:val="Kop5"/>
        <w:ind w:left="427"/>
      </w:pPr>
      <w:r>
        <w:t xml:space="preserve">Stagesupervisor </w:t>
      </w:r>
    </w:p>
    <w:p w14:paraId="0753C0AF" w14:textId="77777777" w:rsidR="00A61F9D" w:rsidRDefault="00A61F9D" w:rsidP="00A61F9D">
      <w:pPr>
        <w:ind w:left="439" w:right="5"/>
      </w:pPr>
      <w:r>
        <w:t xml:space="preserve">De stage zal </w:t>
      </w:r>
      <w:r w:rsidR="000155F9">
        <w:t xml:space="preserve">vallen onder supervisie van </w:t>
      </w:r>
      <w:r w:rsidR="00BB7A3A">
        <w:t>Erik Theunisse</w:t>
      </w:r>
      <w:r>
        <w:t>. Voorafgaand aan de stage zullen de (persoonlijke) leerdoelen besproken worden</w:t>
      </w:r>
      <w:r w:rsidR="000155F9">
        <w:t xml:space="preserve"> samen met de </w:t>
      </w:r>
      <w:r w:rsidR="000155F9" w:rsidRPr="000155F9">
        <w:rPr>
          <w:bCs/>
        </w:rPr>
        <w:t>opleider binnen de B-opleiding van CWZ, Joost Engel</w:t>
      </w:r>
      <w:r>
        <w:t xml:space="preserve">.  </w:t>
      </w:r>
    </w:p>
    <w:p w14:paraId="33139C91" w14:textId="77777777" w:rsidR="00A61F9D" w:rsidRDefault="00A61F9D" w:rsidP="00A61F9D">
      <w:pPr>
        <w:pStyle w:val="Kop5"/>
        <w:ind w:left="427"/>
      </w:pPr>
      <w:r>
        <w:t xml:space="preserve">Programma </w:t>
      </w:r>
    </w:p>
    <w:p w14:paraId="126A39D9" w14:textId="2F032239" w:rsidR="000155F9" w:rsidRDefault="000155F9" w:rsidP="000155F9">
      <w:pPr>
        <w:ind w:left="439" w:right="5"/>
      </w:pPr>
      <w:r>
        <w:t xml:space="preserve">Het programma wordt in samenspraak met de stagesupervisor en de roosteraars op maat van de </w:t>
      </w:r>
      <w:proofErr w:type="spellStart"/>
      <w:r>
        <w:t>differentiant</w:t>
      </w:r>
      <w:proofErr w:type="spellEnd"/>
      <w:r>
        <w:t xml:space="preserve"> gemaakt. Gestreefd wordt naar minimaal </w:t>
      </w:r>
      <w:r w:rsidR="006E1E54">
        <w:t>4</w:t>
      </w:r>
      <w:r>
        <w:t xml:space="preserve"> dagdelen chirurgie per week (bij een 90% dienstverband), naast een mogelijk kinderprogramma en/of POK-programma. </w:t>
      </w:r>
      <w:r w:rsidR="00186682">
        <w:t>H</w:t>
      </w:r>
      <w:r>
        <w:t xml:space="preserve">et </w:t>
      </w:r>
      <w:r w:rsidR="006E1E54">
        <w:t xml:space="preserve">hoofddoel </w:t>
      </w:r>
      <w:r w:rsidR="00186682">
        <w:t>is het</w:t>
      </w:r>
      <w:r w:rsidR="006E1E54">
        <w:t xml:space="preserve"> </w:t>
      </w:r>
      <w:r>
        <w:t>a</w:t>
      </w:r>
      <w:r w:rsidRPr="000155F9">
        <w:t xml:space="preserve">ssisteren en (deels) zelfstandig uitvoeren van </w:t>
      </w:r>
      <w:proofErr w:type="spellStart"/>
      <w:r w:rsidRPr="000155F9">
        <w:t>otologische</w:t>
      </w:r>
      <w:proofErr w:type="spellEnd"/>
      <w:r w:rsidRPr="000155F9">
        <w:t xml:space="preserve"> ingrepen onder algehele en lokale anesthesie</w:t>
      </w:r>
      <w:r>
        <w:t xml:space="preserve">. De overige dagdelen zullen ingevuld worden met poliklinische bezigheden, waarbij de nadruk zal liggen op </w:t>
      </w:r>
      <w:proofErr w:type="spellStart"/>
      <w:r>
        <w:t>otologische</w:t>
      </w:r>
      <w:proofErr w:type="spellEnd"/>
      <w:r>
        <w:t xml:space="preserve"> problematiek, maar ook de algemene Keel-, Neus- en Oorheelkunde aan bod zal komen. </w:t>
      </w:r>
    </w:p>
    <w:p w14:paraId="103A0523" w14:textId="77777777" w:rsidR="000155F9" w:rsidRDefault="000155F9" w:rsidP="00BD29A6">
      <w:pPr>
        <w:ind w:left="439" w:right="5"/>
      </w:pPr>
      <w:r>
        <w:t xml:space="preserve">De </w:t>
      </w:r>
      <w:proofErr w:type="spellStart"/>
      <w:r>
        <w:t>differentiant</w:t>
      </w:r>
      <w:proofErr w:type="spellEnd"/>
      <w:r>
        <w:t xml:space="preserve"> zal deelnemen aan het </w:t>
      </w:r>
      <w:r w:rsidR="00BD29A6">
        <w:t xml:space="preserve">maandelijks </w:t>
      </w:r>
      <w:r w:rsidR="00BD29A6" w:rsidRPr="00BD29A6">
        <w:t xml:space="preserve">Regionaal </w:t>
      </w:r>
      <w:proofErr w:type="spellStart"/>
      <w:r w:rsidR="00BD29A6" w:rsidRPr="00BD29A6">
        <w:t>Otologisch</w:t>
      </w:r>
      <w:proofErr w:type="spellEnd"/>
      <w:r w:rsidR="00BD29A6" w:rsidRPr="00BD29A6">
        <w:t xml:space="preserve"> Casuïstiek Overleg (ROCO)</w:t>
      </w:r>
      <w:r w:rsidR="00BD29A6">
        <w:t>.</w:t>
      </w:r>
    </w:p>
    <w:p w14:paraId="1CE3D83F" w14:textId="77777777" w:rsidR="00BD29A6" w:rsidRDefault="00BD29A6" w:rsidP="00BD29A6">
      <w:pPr>
        <w:ind w:left="439" w:right="5"/>
      </w:pPr>
      <w:r>
        <w:t xml:space="preserve">De </w:t>
      </w:r>
      <w:proofErr w:type="spellStart"/>
      <w:r>
        <w:t>differentiant</w:t>
      </w:r>
      <w:proofErr w:type="spellEnd"/>
      <w:r>
        <w:t xml:space="preserve"> zal een dag participeren bij het </w:t>
      </w:r>
      <w:proofErr w:type="spellStart"/>
      <w:r>
        <w:t>videonystagmografie</w:t>
      </w:r>
      <w:proofErr w:type="spellEnd"/>
      <w:r w:rsidRPr="00BD29A6">
        <w:t xml:space="preserve"> (VNG)</w:t>
      </w:r>
      <w:r>
        <w:t xml:space="preserve"> onderzoek op de afdeling Klinische Neurofysiologie.</w:t>
      </w:r>
    </w:p>
    <w:p w14:paraId="6BEBBC21" w14:textId="77777777" w:rsidR="000155F9" w:rsidRDefault="000155F9" w:rsidP="000155F9">
      <w:pPr>
        <w:ind w:left="439" w:right="5"/>
      </w:pPr>
      <w:r>
        <w:t xml:space="preserve">De </w:t>
      </w:r>
      <w:proofErr w:type="spellStart"/>
      <w:r>
        <w:t>differentiant</w:t>
      </w:r>
      <w:proofErr w:type="spellEnd"/>
      <w:r>
        <w:t xml:space="preserve"> zal gevraagd worden ten minste eenmaal bij te dragen aan het periodieke onderwijs binnen de vakgroep KNO.</w:t>
      </w:r>
    </w:p>
    <w:p w14:paraId="4D9D369F" w14:textId="77777777" w:rsidR="00A61F9D" w:rsidRDefault="00A61F9D" w:rsidP="00A61F9D">
      <w:pPr>
        <w:spacing w:after="298" w:line="259" w:lineRule="auto"/>
        <w:ind w:left="427"/>
      </w:pPr>
      <w:r>
        <w:rPr>
          <w:b/>
        </w:rPr>
        <w:t xml:space="preserve">Doelstellingen </w:t>
      </w:r>
    </w:p>
    <w:p w14:paraId="23455CB0" w14:textId="26449FE7" w:rsidR="00A61F9D" w:rsidRDefault="00A61F9D" w:rsidP="00A61F9D">
      <w:pPr>
        <w:ind w:left="439" w:right="5"/>
      </w:pPr>
      <w:r>
        <w:t xml:space="preserve">Het beheersen van de poliklinische en chirurgische basiszorg betreffende </w:t>
      </w:r>
      <w:proofErr w:type="spellStart"/>
      <w:r>
        <w:t>otologische</w:t>
      </w:r>
      <w:proofErr w:type="spellEnd"/>
      <w:r>
        <w:t xml:space="preserve"> problematiek. </w:t>
      </w:r>
    </w:p>
    <w:p w14:paraId="31B7276D" w14:textId="5A705783" w:rsidR="00186682" w:rsidRDefault="00186682" w:rsidP="00A61F9D">
      <w:pPr>
        <w:ind w:left="439" w:right="5"/>
      </w:pPr>
    </w:p>
    <w:p w14:paraId="22DA3168" w14:textId="77777777" w:rsidR="00186682" w:rsidRDefault="00186682" w:rsidP="00A61F9D">
      <w:pPr>
        <w:ind w:left="439" w:right="5"/>
      </w:pPr>
    </w:p>
    <w:p w14:paraId="37018722" w14:textId="77777777" w:rsidR="00A61F9D" w:rsidRDefault="00A61F9D" w:rsidP="00A61F9D">
      <w:pPr>
        <w:pStyle w:val="Kop5"/>
        <w:ind w:left="427"/>
      </w:pPr>
      <w:r>
        <w:lastRenderedPageBreak/>
        <w:t xml:space="preserve">Competenties </w:t>
      </w:r>
    </w:p>
    <w:p w14:paraId="50A9E9DC" w14:textId="77777777" w:rsidR="00A61F9D" w:rsidRDefault="00A61F9D" w:rsidP="00A61F9D">
      <w:pPr>
        <w:spacing w:after="323"/>
        <w:ind w:left="439" w:right="5"/>
      </w:pPr>
      <w:r>
        <w:t xml:space="preserve">De AIOS </w:t>
      </w:r>
    </w:p>
    <w:p w14:paraId="217D73D7" w14:textId="77777777" w:rsidR="00A61F9D" w:rsidRDefault="00A61F9D" w:rsidP="00A61F9D">
      <w:pPr>
        <w:numPr>
          <w:ilvl w:val="0"/>
          <w:numId w:val="1"/>
        </w:numPr>
        <w:spacing w:after="39"/>
        <w:ind w:right="5" w:hanging="360"/>
      </w:pPr>
      <w:r>
        <w:t xml:space="preserve">heeft kennis van de chirurgische anatomie en beeldvorming van het os </w:t>
      </w:r>
      <w:proofErr w:type="spellStart"/>
      <w:r>
        <w:t>petrosum</w:t>
      </w:r>
      <w:proofErr w:type="spellEnd"/>
      <w:r>
        <w:t xml:space="preserve"> en de omgevende structuren </w:t>
      </w:r>
    </w:p>
    <w:p w14:paraId="64D1CD8E" w14:textId="77777777" w:rsidR="00A61F9D" w:rsidRDefault="00A61F9D" w:rsidP="00A61F9D">
      <w:pPr>
        <w:numPr>
          <w:ilvl w:val="0"/>
          <w:numId w:val="1"/>
        </w:numPr>
        <w:spacing w:after="36"/>
        <w:ind w:right="5" w:hanging="360"/>
      </w:pPr>
      <w:r>
        <w:t xml:space="preserve">heeft kennis van de juiste inzet en interpretatie van aanvullende audiologische en beeldvormende (differentiaal)diagnostiek </w:t>
      </w:r>
    </w:p>
    <w:p w14:paraId="5FC7A13E" w14:textId="77777777" w:rsidR="00A61F9D" w:rsidRDefault="00A61F9D" w:rsidP="00A61F9D">
      <w:pPr>
        <w:numPr>
          <w:ilvl w:val="0"/>
          <w:numId w:val="1"/>
        </w:numPr>
        <w:spacing w:after="39"/>
        <w:ind w:right="5" w:hanging="360"/>
      </w:pPr>
      <w:r>
        <w:t xml:space="preserve">heeft kennis van timing en toepasbaarheid van verschillende behandelmogelijkheden van chronische otitis media (COM) met en zonder </w:t>
      </w:r>
      <w:proofErr w:type="spellStart"/>
      <w:r>
        <w:t>cholesteatoom</w:t>
      </w:r>
      <w:proofErr w:type="spellEnd"/>
      <w:r>
        <w:t xml:space="preserve">  </w:t>
      </w:r>
    </w:p>
    <w:p w14:paraId="0881AD81" w14:textId="77777777" w:rsidR="00A61F9D" w:rsidRDefault="00A61F9D" w:rsidP="00A61F9D">
      <w:pPr>
        <w:numPr>
          <w:ilvl w:val="0"/>
          <w:numId w:val="1"/>
        </w:numPr>
        <w:spacing w:after="39"/>
        <w:ind w:right="5" w:hanging="360"/>
      </w:pPr>
      <w:r>
        <w:t xml:space="preserve">heeft kennis van de verschillende reconstructieve behandelingen (bij otosclerose, </w:t>
      </w:r>
      <w:r w:rsidR="00BB7A3A">
        <w:t>BCD</w:t>
      </w:r>
      <w:r>
        <w:t xml:space="preserve"> en elektrische middenoor- en binnenoorprothesen) en kan een afweging maken bij de indicatiestelling hiertoe </w:t>
      </w:r>
    </w:p>
    <w:p w14:paraId="71E9E981" w14:textId="77777777" w:rsidR="00A61F9D" w:rsidRDefault="00A61F9D" w:rsidP="00A61F9D">
      <w:pPr>
        <w:numPr>
          <w:ilvl w:val="0"/>
          <w:numId w:val="1"/>
        </w:numPr>
        <w:spacing w:after="39"/>
        <w:ind w:right="5" w:hanging="360"/>
      </w:pPr>
      <w:r>
        <w:t xml:space="preserve">bespreekt in teamverband de diagnostische resultaten van de meest voorkomende schedelbasispathologie in het licht van therapeutische mogelijkheden  </w:t>
      </w:r>
    </w:p>
    <w:p w14:paraId="35AFEA2F" w14:textId="77777777" w:rsidR="00A61F9D" w:rsidRDefault="00A61F9D" w:rsidP="00A61F9D">
      <w:pPr>
        <w:numPr>
          <w:ilvl w:val="0"/>
          <w:numId w:val="1"/>
        </w:numPr>
        <w:ind w:right="5" w:hanging="360"/>
      </w:pPr>
      <w:r>
        <w:t xml:space="preserve">legt op adequate wijze de risico’s uit van verschillende vormen van </w:t>
      </w:r>
      <w:proofErr w:type="spellStart"/>
      <w:r>
        <w:t>oorchirurgie</w:t>
      </w:r>
      <w:proofErr w:type="spellEnd"/>
      <w:r>
        <w:t xml:space="preserve"> en bespreekt alternatieven </w:t>
      </w:r>
    </w:p>
    <w:p w14:paraId="38B7CB57" w14:textId="77777777" w:rsidR="00A61F9D" w:rsidRDefault="00A61F9D" w:rsidP="00A61F9D">
      <w:pPr>
        <w:numPr>
          <w:ilvl w:val="0"/>
          <w:numId w:val="1"/>
        </w:numPr>
        <w:spacing w:after="39"/>
        <w:ind w:right="5" w:hanging="360"/>
      </w:pPr>
      <w:r>
        <w:t xml:space="preserve">doet chirurgische vaardigheden op het gebied van sanerende en reconstructieve </w:t>
      </w:r>
      <w:proofErr w:type="spellStart"/>
      <w:r>
        <w:t>oorchirurgie</w:t>
      </w:r>
      <w:proofErr w:type="spellEnd"/>
      <w:r>
        <w:t xml:space="preserve"> op, onder beperkte supervisie </w:t>
      </w:r>
    </w:p>
    <w:p w14:paraId="7E00A045" w14:textId="77777777" w:rsidR="00A61F9D" w:rsidRDefault="00A61F9D" w:rsidP="00A61F9D">
      <w:pPr>
        <w:numPr>
          <w:ilvl w:val="0"/>
          <w:numId w:val="1"/>
        </w:numPr>
        <w:ind w:right="5" w:hanging="360"/>
      </w:pPr>
      <w:r>
        <w:t xml:space="preserve">zorgt voor de juiste verslaglegging o.a. in de vorm van een adequaat OK-verslag en correspondentie richting de huisarts </w:t>
      </w:r>
    </w:p>
    <w:p w14:paraId="791164D5" w14:textId="77777777" w:rsidR="00A61F9D" w:rsidRDefault="00A61F9D" w:rsidP="00A61F9D">
      <w:pPr>
        <w:pStyle w:val="Kop5"/>
        <w:spacing w:after="41"/>
        <w:ind w:left="427"/>
      </w:pPr>
      <w:r>
        <w:t xml:space="preserve">ENTER bekwaamheidsniveaus/ chirurgische matrix </w:t>
      </w:r>
    </w:p>
    <w:tbl>
      <w:tblPr>
        <w:tblStyle w:val="TableGrid"/>
        <w:tblW w:w="7482" w:type="dxa"/>
        <w:tblInd w:w="324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6172"/>
        <w:gridCol w:w="1310"/>
      </w:tblGrid>
      <w:tr w:rsidR="00A61F9D" w14:paraId="2585AFD5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B5643A1" w14:textId="77777777" w:rsidR="00A61F9D" w:rsidRDefault="00A61F9D" w:rsidP="00040924">
            <w:pPr>
              <w:spacing w:after="0" w:line="259" w:lineRule="auto"/>
              <w:ind w:left="108" w:firstLine="0"/>
            </w:pPr>
            <w:r>
              <w:rPr>
                <w:color w:val="365F91"/>
              </w:rPr>
              <w:t>Verrichting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76D41E5" w14:textId="77777777" w:rsidR="00A61F9D" w:rsidRDefault="00A61F9D" w:rsidP="0004092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Einddoel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</w:tc>
      </w:tr>
      <w:tr w:rsidR="00325984" w14:paraId="2B5F3244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14B7365A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Meatusplatiek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53ACE878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5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09639F37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E18190A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Myringoplastiek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endauraal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D8599A1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5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08CD7D1F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4DDFBFD8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Myringoplastiek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retroauriculair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1BCFAA85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4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1739AB1A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E45C8B5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Canalplasty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631954D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3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06D36B48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1A65CF27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Mastoidectomie</w:t>
            </w:r>
            <w:proofErr w:type="spellEnd"/>
            <w:r>
              <w:rPr>
                <w:color w:val="365F91"/>
              </w:rPr>
              <w:t xml:space="preserve"> </w:t>
            </w:r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4EC8C251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5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1AD58F90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7C75210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Attico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antrotomie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4A436C2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4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64092560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0DF14E0C" w14:textId="77777777" w:rsidR="00325984" w:rsidRDefault="00325984" w:rsidP="00325984">
            <w:pPr>
              <w:spacing w:after="0" w:line="259" w:lineRule="auto"/>
              <w:ind w:left="108" w:firstLine="0"/>
              <w:rPr>
                <w:color w:val="365F91"/>
              </w:rPr>
            </w:pPr>
            <w:proofErr w:type="spellStart"/>
            <w:r>
              <w:rPr>
                <w:color w:val="365F91"/>
              </w:rPr>
              <w:t>Attico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antrotomie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endauraal</w:t>
            </w:r>
            <w:proofErr w:type="spellEnd"/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7D4BE7D1" w14:textId="77777777" w:rsidR="00325984" w:rsidRDefault="00325984" w:rsidP="00325984">
            <w:pPr>
              <w:spacing w:after="0" w:line="259" w:lineRule="auto"/>
              <w:ind w:left="0" w:firstLine="0"/>
              <w:rPr>
                <w:color w:val="365F91"/>
              </w:rPr>
            </w:pPr>
            <w:r>
              <w:rPr>
                <w:color w:val="365F91"/>
              </w:rPr>
              <w:t>3</w:t>
            </w:r>
          </w:p>
        </w:tc>
      </w:tr>
      <w:tr w:rsidR="00325984" w14:paraId="375DB8C0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DEBB5CE" w14:textId="77777777" w:rsidR="00325984" w:rsidRDefault="00325984" w:rsidP="00325984">
            <w:pPr>
              <w:spacing w:after="0" w:line="259" w:lineRule="auto"/>
              <w:ind w:left="108" w:firstLine="0"/>
            </w:pPr>
            <w:r>
              <w:rPr>
                <w:color w:val="365F91"/>
              </w:rPr>
              <w:t xml:space="preserve">Posterieure </w:t>
            </w:r>
            <w:proofErr w:type="spellStart"/>
            <w:r>
              <w:rPr>
                <w:color w:val="365F91"/>
              </w:rPr>
              <w:t>tympanotomie</w:t>
            </w:r>
            <w:proofErr w:type="spellEnd"/>
            <w:r>
              <w:rPr>
                <w:color w:val="365F91"/>
              </w:rPr>
              <w:t xml:space="preserve"> </w:t>
            </w:r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6AA892F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3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28A46552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21856E13" w14:textId="77777777" w:rsidR="00325984" w:rsidRDefault="00325984" w:rsidP="00325984">
            <w:pPr>
              <w:spacing w:after="0" w:line="259" w:lineRule="auto"/>
              <w:ind w:left="108" w:firstLine="0"/>
            </w:pPr>
            <w:r>
              <w:rPr>
                <w:color w:val="365F91"/>
              </w:rPr>
              <w:t xml:space="preserve">Verwijderen van </w:t>
            </w:r>
            <w:proofErr w:type="spellStart"/>
            <w:r>
              <w:rPr>
                <w:color w:val="365F91"/>
              </w:rPr>
              <w:t>cholesteatoom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16DC9DF4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3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1EA55EAF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5CFBFCC" w14:textId="77777777" w:rsidR="00325984" w:rsidRDefault="00325984" w:rsidP="00325984">
            <w:pPr>
              <w:spacing w:after="0" w:line="259" w:lineRule="auto"/>
              <w:ind w:left="108" w:firstLine="0"/>
            </w:pPr>
            <w:r>
              <w:rPr>
                <w:color w:val="365F91"/>
              </w:rPr>
              <w:t>Verkleining radicaalholte</w:t>
            </w:r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DFDDA1D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3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664B6210" w14:textId="77777777" w:rsidTr="0032598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492E1260" w14:textId="77777777" w:rsidR="00325984" w:rsidRDefault="00325984" w:rsidP="00325984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365F91"/>
              </w:rPr>
              <w:t>Stapedotomie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 w:themeFill="accent1" w:themeFillTint="33"/>
          </w:tcPr>
          <w:p w14:paraId="0783CC90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1-2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  <w:tr w:rsidR="00325984" w14:paraId="273ECA09" w14:textId="77777777" w:rsidTr="00040924">
        <w:trPr>
          <w:trHeight w:val="323"/>
        </w:trPr>
        <w:tc>
          <w:tcPr>
            <w:tcW w:w="617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4FDF107" w14:textId="77777777" w:rsidR="00325984" w:rsidRDefault="00325984" w:rsidP="00325984">
            <w:pPr>
              <w:spacing w:after="0" w:line="259" w:lineRule="auto"/>
              <w:ind w:left="108" w:firstLine="0"/>
            </w:pPr>
            <w:r>
              <w:rPr>
                <w:color w:val="365F91"/>
              </w:rPr>
              <w:t>Overige ketenreconstructies</w:t>
            </w:r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D1484FD" w14:textId="77777777" w:rsidR="00325984" w:rsidRDefault="00325984" w:rsidP="00325984">
            <w:pPr>
              <w:spacing w:after="0" w:line="259" w:lineRule="auto"/>
              <w:ind w:left="0" w:firstLine="0"/>
            </w:pPr>
            <w:r>
              <w:rPr>
                <w:color w:val="365F91"/>
              </w:rPr>
              <w:t>3</w:t>
            </w:r>
            <w:r>
              <w:rPr>
                <w:color w:val="365F91"/>
                <w:sz w:val="24"/>
              </w:rPr>
              <w:t xml:space="preserve"> </w:t>
            </w:r>
          </w:p>
        </w:tc>
      </w:tr>
    </w:tbl>
    <w:p w14:paraId="2ED972DE" w14:textId="27A61D14" w:rsidR="00A61F9D" w:rsidRDefault="00A61F9D" w:rsidP="00A61F9D">
      <w:pPr>
        <w:spacing w:after="297" w:line="259" w:lineRule="auto"/>
        <w:ind w:left="432" w:firstLine="0"/>
        <w:rPr>
          <w:b/>
        </w:rPr>
      </w:pPr>
      <w:r>
        <w:rPr>
          <w:b/>
        </w:rPr>
        <w:t xml:space="preserve"> </w:t>
      </w:r>
    </w:p>
    <w:p w14:paraId="2AB647E2" w14:textId="77777777" w:rsidR="00186682" w:rsidRDefault="00186682" w:rsidP="00A61F9D">
      <w:pPr>
        <w:spacing w:after="297" w:line="259" w:lineRule="auto"/>
        <w:ind w:left="432" w:firstLine="0"/>
      </w:pPr>
    </w:p>
    <w:p w14:paraId="67187FF2" w14:textId="77777777" w:rsidR="00A61F9D" w:rsidRDefault="00A61F9D" w:rsidP="00A61F9D">
      <w:pPr>
        <w:pStyle w:val="Kop5"/>
        <w:spacing w:after="345"/>
        <w:ind w:left="427"/>
      </w:pPr>
      <w:r>
        <w:lastRenderedPageBreak/>
        <w:t xml:space="preserve">Toetsing  </w:t>
      </w:r>
    </w:p>
    <w:p w14:paraId="31F143D4" w14:textId="77777777" w:rsidR="00A61F9D" w:rsidRDefault="00A61F9D" w:rsidP="00A61F9D">
      <w:pPr>
        <w:numPr>
          <w:ilvl w:val="0"/>
          <w:numId w:val="2"/>
        </w:numPr>
        <w:spacing w:after="15"/>
        <w:ind w:right="5" w:hanging="360"/>
      </w:pPr>
      <w:r>
        <w:t xml:space="preserve">OSATS betreffende een aantal van de volgende verrichtingen: </w:t>
      </w:r>
    </w:p>
    <w:p w14:paraId="0FC3D87C" w14:textId="77777777" w:rsid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proofErr w:type="spellStart"/>
      <w:r>
        <w:t>Mastoidectomie</w:t>
      </w:r>
      <w:proofErr w:type="spellEnd"/>
      <w:r>
        <w:t xml:space="preserve">  </w:t>
      </w:r>
    </w:p>
    <w:p w14:paraId="6754D6ED" w14:textId="77777777" w:rsid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proofErr w:type="spellStart"/>
      <w:r>
        <w:t>Attico</w:t>
      </w:r>
      <w:proofErr w:type="spellEnd"/>
      <w:r>
        <w:t xml:space="preserve"> </w:t>
      </w:r>
      <w:proofErr w:type="spellStart"/>
      <w:r>
        <w:t>antrotomie</w:t>
      </w:r>
      <w:proofErr w:type="spellEnd"/>
      <w:r>
        <w:t xml:space="preserve"> </w:t>
      </w:r>
    </w:p>
    <w:p w14:paraId="3CC61FAF" w14:textId="77777777" w:rsid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r>
        <w:t xml:space="preserve">Posterieure </w:t>
      </w:r>
      <w:proofErr w:type="spellStart"/>
      <w:r>
        <w:t>tympanotomie</w:t>
      </w:r>
      <w:proofErr w:type="spellEnd"/>
      <w:r>
        <w:t xml:space="preserve">  </w:t>
      </w:r>
    </w:p>
    <w:p w14:paraId="17BA5165" w14:textId="77777777" w:rsidR="00BB7A3A" w:rsidRP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r>
        <w:t xml:space="preserve">Verwijderen van </w:t>
      </w:r>
      <w:proofErr w:type="spellStart"/>
      <w:r>
        <w:t>cholesteatoom</w:t>
      </w:r>
      <w:proofErr w:type="spellEnd"/>
      <w:r>
        <w:t xml:space="preserve"> </w:t>
      </w:r>
    </w:p>
    <w:p w14:paraId="61D15AD8" w14:textId="77777777" w:rsidR="00BB7A3A" w:rsidRP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proofErr w:type="spellStart"/>
      <w:r>
        <w:t>Meatusplatiek</w:t>
      </w:r>
      <w:proofErr w:type="spellEnd"/>
      <w:r>
        <w:t xml:space="preserve"> </w:t>
      </w:r>
    </w:p>
    <w:p w14:paraId="3796F16D" w14:textId="77777777" w:rsidR="00BB7A3A" w:rsidRPr="00BB7A3A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proofErr w:type="spellStart"/>
      <w:r>
        <w:t>Myringoplastiek</w:t>
      </w:r>
      <w:proofErr w:type="spellEnd"/>
      <w:r>
        <w:t xml:space="preserve"> </w:t>
      </w:r>
    </w:p>
    <w:p w14:paraId="34B8BE16" w14:textId="77777777" w:rsidR="00A61F9D" w:rsidRDefault="00A61F9D" w:rsidP="00A61F9D">
      <w:pPr>
        <w:numPr>
          <w:ilvl w:val="1"/>
          <w:numId w:val="2"/>
        </w:numPr>
        <w:spacing w:after="11" w:line="313" w:lineRule="auto"/>
        <w:ind w:right="3375" w:hanging="360"/>
      </w:pPr>
      <w:r>
        <w:t xml:space="preserve">Ketenreconstructie </w:t>
      </w:r>
    </w:p>
    <w:p w14:paraId="2E612384" w14:textId="77777777" w:rsidR="00A61F9D" w:rsidRDefault="00A61F9D" w:rsidP="00A61F9D">
      <w:pPr>
        <w:numPr>
          <w:ilvl w:val="0"/>
          <w:numId w:val="2"/>
        </w:numPr>
        <w:spacing w:after="14"/>
        <w:ind w:right="5" w:hanging="360"/>
      </w:pPr>
      <w:proofErr w:type="spellStart"/>
      <w:r>
        <w:t>KPB’s</w:t>
      </w:r>
      <w:proofErr w:type="spellEnd"/>
      <w:r>
        <w:t xml:space="preserve"> betreffende uit de leerdoelen voortkomende activiteiten, zoals: </w:t>
      </w:r>
    </w:p>
    <w:p w14:paraId="5F9C4A68" w14:textId="77777777" w:rsidR="00A61F9D" w:rsidRDefault="00A61F9D" w:rsidP="00A61F9D">
      <w:pPr>
        <w:numPr>
          <w:ilvl w:val="1"/>
          <w:numId w:val="2"/>
        </w:numPr>
        <w:spacing w:after="38"/>
        <w:ind w:right="3375" w:hanging="360"/>
      </w:pPr>
      <w:r>
        <w:t>Interpretatie van diagnostische</w:t>
      </w:r>
      <w:r w:rsidR="00BB7A3A">
        <w:t xml:space="preserve"> </w:t>
      </w:r>
      <w:r>
        <w:t xml:space="preserve">bevindingen (beeldvormend en audiologisch onderzoek) </w:t>
      </w:r>
    </w:p>
    <w:p w14:paraId="09DF4E41" w14:textId="77777777" w:rsidR="00325984" w:rsidRDefault="00A61F9D" w:rsidP="00325984">
      <w:pPr>
        <w:numPr>
          <w:ilvl w:val="1"/>
          <w:numId w:val="2"/>
        </w:numPr>
        <w:spacing w:after="0"/>
        <w:ind w:right="3375" w:hanging="360"/>
      </w:pPr>
      <w:r>
        <w:t>Bespreken van verschillende</w:t>
      </w:r>
      <w:r w:rsidR="00BB7A3A">
        <w:t xml:space="preserve"> b</w:t>
      </w:r>
      <w:r>
        <w:t>ehandelmogelijkheden</w:t>
      </w:r>
    </w:p>
    <w:p w14:paraId="56C9B841" w14:textId="77777777" w:rsidR="00BB7A3A" w:rsidRDefault="00A61F9D" w:rsidP="00325984">
      <w:pPr>
        <w:numPr>
          <w:ilvl w:val="1"/>
          <w:numId w:val="2"/>
        </w:numPr>
        <w:spacing w:after="0"/>
        <w:ind w:right="3375" w:hanging="360"/>
      </w:pPr>
      <w:r>
        <w:t>Bespreken van operatieve risico’s</w:t>
      </w:r>
    </w:p>
    <w:p w14:paraId="13AE68A3" w14:textId="77777777" w:rsidR="00A61F9D" w:rsidRDefault="00A61F9D" w:rsidP="00325984">
      <w:pPr>
        <w:numPr>
          <w:ilvl w:val="1"/>
          <w:numId w:val="2"/>
        </w:numPr>
        <w:spacing w:after="0"/>
        <w:ind w:right="3375" w:hanging="360"/>
      </w:pPr>
      <w:r>
        <w:t xml:space="preserve">Postoperatieve visite </w:t>
      </w:r>
    </w:p>
    <w:p w14:paraId="24F0F295" w14:textId="77777777" w:rsidR="0004619F" w:rsidRPr="00BB7A3A" w:rsidRDefault="00A61F9D" w:rsidP="00325984">
      <w:pPr>
        <w:numPr>
          <w:ilvl w:val="1"/>
          <w:numId w:val="2"/>
        </w:numPr>
        <w:spacing w:after="0"/>
        <w:ind w:right="3375" w:hanging="360"/>
      </w:pPr>
      <w:r>
        <w:t xml:space="preserve">Participatie in </w:t>
      </w:r>
      <w:r w:rsidR="0004619F">
        <w:t>radiologische</w:t>
      </w:r>
      <w:r>
        <w:t xml:space="preserve"> besprekingen</w:t>
      </w:r>
      <w:r w:rsidR="00BB7A3A">
        <w:t xml:space="preserve"> </w:t>
      </w:r>
    </w:p>
    <w:p w14:paraId="4A970EE7" w14:textId="77777777" w:rsidR="00A61F9D" w:rsidRDefault="00A61F9D" w:rsidP="00325984">
      <w:pPr>
        <w:numPr>
          <w:ilvl w:val="1"/>
          <w:numId w:val="2"/>
        </w:numPr>
        <w:spacing w:after="0"/>
        <w:ind w:right="3375" w:hanging="360"/>
      </w:pPr>
      <w:r>
        <w:t xml:space="preserve">Verslaglegging en correspondentie </w:t>
      </w:r>
    </w:p>
    <w:p w14:paraId="2023866B" w14:textId="77777777" w:rsidR="002A0F7B" w:rsidRDefault="00A61F9D" w:rsidP="00A61F9D">
      <w:pPr>
        <w:numPr>
          <w:ilvl w:val="0"/>
          <w:numId w:val="2"/>
        </w:numPr>
        <w:ind w:right="5" w:hanging="360"/>
      </w:pPr>
      <w:r>
        <w:t>Aan het eind van de stage zal een evaluatie gesprek plaatsvinden met de aangewezen supervisor (</w:t>
      </w:r>
      <w:r w:rsidR="0004619F">
        <w:t>Erik Theunisse</w:t>
      </w:r>
      <w:r>
        <w:t xml:space="preserve">) </w:t>
      </w:r>
    </w:p>
    <w:sectPr w:rsidR="002A0F7B" w:rsidSect="0024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5E9"/>
    <w:multiLevelType w:val="hybridMultilevel"/>
    <w:tmpl w:val="B1FA6E0C"/>
    <w:lvl w:ilvl="0" w:tplc="27763EDA">
      <w:start w:val="1"/>
      <w:numFmt w:val="bullet"/>
      <w:lvlText w:val="•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412E4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C472A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6252A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C5B5A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EC872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85BA6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A4C14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4F78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5D26D9"/>
    <w:multiLevelType w:val="hybridMultilevel"/>
    <w:tmpl w:val="0E24FEEE"/>
    <w:lvl w:ilvl="0" w:tplc="8810558C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492F2">
      <w:start w:val="1"/>
      <w:numFmt w:val="bullet"/>
      <w:lvlText w:val="o"/>
      <w:lvlJc w:val="left"/>
      <w:pPr>
        <w:ind w:left="1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C03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15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261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834A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41BA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29D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A16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1767118">
    <w:abstractNumId w:val="0"/>
  </w:num>
  <w:num w:numId="2" w16cid:durableId="13749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9D"/>
    <w:rsid w:val="000155F9"/>
    <w:rsid w:val="0004619F"/>
    <w:rsid w:val="00170409"/>
    <w:rsid w:val="00186682"/>
    <w:rsid w:val="00245E33"/>
    <w:rsid w:val="00325984"/>
    <w:rsid w:val="003321AF"/>
    <w:rsid w:val="003B3674"/>
    <w:rsid w:val="006E1E54"/>
    <w:rsid w:val="00716F02"/>
    <w:rsid w:val="008E7989"/>
    <w:rsid w:val="00924820"/>
    <w:rsid w:val="00A61F9D"/>
    <w:rsid w:val="00A96847"/>
    <w:rsid w:val="00B173F7"/>
    <w:rsid w:val="00BB7A3A"/>
    <w:rsid w:val="00BD29A6"/>
    <w:rsid w:val="00CF550A"/>
    <w:rsid w:val="00D4551A"/>
    <w:rsid w:val="00E35986"/>
    <w:rsid w:val="00EB4194"/>
    <w:rsid w:val="00F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AE9"/>
  <w15:chartTrackingRefBased/>
  <w15:docId w15:val="{9A78E6BA-DDCF-4A21-9F6B-D78905B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F9D"/>
    <w:pPr>
      <w:spacing w:after="285" w:line="271" w:lineRule="auto"/>
      <w:ind w:left="882" w:hanging="10"/>
    </w:pPr>
    <w:rPr>
      <w:rFonts w:ascii="Calibri" w:eastAsia="Calibri" w:hAnsi="Calibri" w:cs="Calibri"/>
      <w:color w:val="000000"/>
      <w:lang w:eastAsia="nl-NL"/>
    </w:rPr>
  </w:style>
  <w:style w:type="paragraph" w:styleId="Kop5">
    <w:name w:val="heading 5"/>
    <w:next w:val="Standaard"/>
    <w:link w:val="Kop5Char"/>
    <w:uiPriority w:val="9"/>
    <w:unhideWhenUsed/>
    <w:qFormat/>
    <w:rsid w:val="00A61F9D"/>
    <w:pPr>
      <w:keepNext/>
      <w:keepLines/>
      <w:spacing w:after="298" w:line="259" w:lineRule="auto"/>
      <w:ind w:left="442" w:hanging="10"/>
      <w:outlineLvl w:val="4"/>
    </w:pPr>
    <w:rPr>
      <w:rFonts w:ascii="Calibri" w:eastAsia="Calibri" w:hAnsi="Calibri" w:cs="Calibri"/>
      <w:b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A61F9D"/>
    <w:rPr>
      <w:rFonts w:ascii="Calibri" w:eastAsia="Calibri" w:hAnsi="Calibri" w:cs="Calibri"/>
      <w:b/>
      <w:color w:val="000000"/>
      <w:lang w:eastAsia="nl-NL"/>
    </w:rPr>
  </w:style>
  <w:style w:type="table" w:customStyle="1" w:styleId="TableGrid">
    <w:name w:val="TableGrid"/>
    <w:rsid w:val="00A61F9D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Rijt, Luuk van de</dc:creator>
  <cp:keywords/>
  <dc:description/>
  <cp:lastModifiedBy>Joost Engel</cp:lastModifiedBy>
  <cp:revision>2</cp:revision>
  <dcterms:created xsi:type="dcterms:W3CDTF">2022-06-25T19:15:00Z</dcterms:created>
  <dcterms:modified xsi:type="dcterms:W3CDTF">2022-06-25T19:15:00Z</dcterms:modified>
</cp:coreProperties>
</file>