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82" w:type="dxa"/>
        <w:tblInd w:w="23" w:type="dxa"/>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4"/>
        <w:gridCol w:w="6318"/>
      </w:tblGrid>
      <w:tr w:rsidR="00D35DC6" w:rsidRPr="00D35DC6" w:rsidTr="00D35DC6">
        <w:trPr>
          <w:trHeight w:val="250"/>
        </w:trPr>
        <w:tc>
          <w:tcPr>
            <w:tcW w:w="2164" w:type="dxa"/>
            <w:shd w:val="clear" w:color="auto" w:fill="auto"/>
            <w:tcMar>
              <w:top w:w="80" w:type="dxa"/>
              <w:left w:w="80" w:type="dxa"/>
              <w:bottom w:w="80" w:type="dxa"/>
              <w:right w:w="80" w:type="dxa"/>
            </w:tcMar>
          </w:tcPr>
          <w:p w:rsidR="005F5EB9" w:rsidRPr="00D35DC6" w:rsidRDefault="00D35DC6" w:rsidP="00D35DC6">
            <w:pPr>
              <w:pStyle w:val="Kop3"/>
              <w:jc w:val="right"/>
              <w:rPr>
                <w:rStyle w:val="Zwaar"/>
                <w:rFonts w:ascii="Arial" w:hAnsi="Arial" w:cs="Arial"/>
                <w:b/>
                <w:bCs w:val="0"/>
                <w:color w:val="auto"/>
                <w:sz w:val="20"/>
                <w:szCs w:val="20"/>
              </w:rPr>
            </w:pPr>
            <w:bookmarkStart w:id="0" w:name="_GoBack"/>
            <w:bookmarkEnd w:id="0"/>
            <w:r w:rsidRPr="00D35DC6">
              <w:rPr>
                <w:rStyle w:val="Zwaar"/>
                <w:rFonts w:ascii="Arial" w:hAnsi="Arial" w:cs="Arial"/>
                <w:b/>
                <w:bCs w:val="0"/>
                <w:color w:val="auto"/>
                <w:sz w:val="20"/>
                <w:szCs w:val="20"/>
              </w:rPr>
              <w:t>Differentiatie</w:t>
            </w:r>
          </w:p>
        </w:tc>
        <w:tc>
          <w:tcPr>
            <w:tcW w:w="6318" w:type="dxa"/>
            <w:shd w:val="clear" w:color="auto" w:fill="auto"/>
            <w:tcMar>
              <w:top w:w="80" w:type="dxa"/>
              <w:left w:w="80" w:type="dxa"/>
              <w:bottom w:w="80" w:type="dxa"/>
              <w:right w:w="80" w:type="dxa"/>
            </w:tcMar>
          </w:tcPr>
          <w:p w:rsidR="005F5EB9" w:rsidRPr="00D35DC6" w:rsidRDefault="005F5EB9" w:rsidP="00EB2D38">
            <w:pPr>
              <w:pStyle w:val="Kop3"/>
              <w:rPr>
                <w:rFonts w:ascii="Arial" w:hAnsi="Arial" w:cs="Arial"/>
                <w:color w:val="auto"/>
                <w:sz w:val="24"/>
              </w:rPr>
            </w:pPr>
            <w:bookmarkStart w:id="1" w:name="_Toc508480375"/>
            <w:r w:rsidRPr="00D35DC6">
              <w:rPr>
                <w:rFonts w:ascii="Arial" w:hAnsi="Arial" w:cs="Arial"/>
                <w:color w:val="auto"/>
                <w:sz w:val="24"/>
              </w:rPr>
              <w:t>Ouderen</w:t>
            </w:r>
            <w:bookmarkEnd w:id="1"/>
          </w:p>
        </w:tc>
      </w:tr>
      <w:tr w:rsidR="005F5EB9" w:rsidRPr="00D35DC6" w:rsidTr="00D35DC6">
        <w:trPr>
          <w:trHeight w:val="223"/>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b/>
                <w:color w:val="000000"/>
                <w:sz w:val="20"/>
                <w:szCs w:val="20"/>
                <w:u w:color="000000"/>
                <w:bdr w:val="nil"/>
                <w:lang w:val="pt-PT" w:eastAsia="nl-NL"/>
              </w:rPr>
            </w:pPr>
            <w:r w:rsidRPr="00D35DC6">
              <w:rPr>
                <w:rFonts w:ascii="Arial" w:hAnsi="Arial" w:cs="Arial"/>
                <w:b/>
                <w:color w:val="000000"/>
                <w:sz w:val="20"/>
                <w:szCs w:val="20"/>
                <w:u w:color="000000"/>
                <w:bdr w:val="nil"/>
                <w:lang w:val="pt-PT" w:eastAsia="nl-NL"/>
              </w:rPr>
              <w:t>Locatie</w:t>
            </w:r>
          </w:p>
        </w:tc>
        <w:tc>
          <w:tcPr>
            <w:tcW w:w="6318" w:type="dxa"/>
            <w:shd w:val="clear" w:color="auto" w:fill="auto"/>
            <w:tcMar>
              <w:top w:w="80" w:type="dxa"/>
              <w:left w:w="80" w:type="dxa"/>
              <w:bottom w:w="80" w:type="dxa"/>
              <w:right w:w="80" w:type="dxa"/>
            </w:tcMar>
          </w:tcPr>
          <w:p w:rsidR="005F5EB9" w:rsidRPr="00D35DC6" w:rsidRDefault="00D35DC6" w:rsidP="00D35DC6">
            <w:pPr>
              <w:pBdr>
                <w:top w:val="nil"/>
                <w:left w:val="nil"/>
                <w:bottom w:val="nil"/>
                <w:right w:val="nil"/>
                <w:between w:val="nil"/>
                <w:bar w:val="nil"/>
              </w:pBdr>
              <w:spacing w:after="0" w:line="240" w:lineRule="auto"/>
              <w:rPr>
                <w:rFonts w:ascii="Arial" w:eastAsia="Arial" w:hAnsi="Arial" w:cs="Arial"/>
                <w:color w:val="000000"/>
                <w:sz w:val="20"/>
                <w:szCs w:val="20"/>
                <w:u w:color="000000"/>
                <w:bdr w:val="nil"/>
                <w:lang w:val="pt-PT" w:eastAsia="nl-NL"/>
              </w:rPr>
            </w:pPr>
            <w:r>
              <w:rPr>
                <w:rFonts w:ascii="Arial" w:eastAsia="Arial" w:hAnsi="Arial" w:cs="Arial"/>
                <w:color w:val="000000"/>
                <w:sz w:val="20"/>
                <w:szCs w:val="20"/>
                <w:u w:color="000000"/>
                <w:bdr w:val="nil"/>
                <w:lang w:val="pt-PT" w:eastAsia="nl-NL"/>
              </w:rPr>
              <w:t>Spaarne Gasthuis</w:t>
            </w:r>
          </w:p>
        </w:tc>
      </w:tr>
      <w:tr w:rsidR="005F5EB9" w:rsidRPr="00D35DC6" w:rsidTr="00D35DC6">
        <w:trPr>
          <w:trHeight w:val="223"/>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b/>
                <w:color w:val="000000"/>
                <w:sz w:val="20"/>
                <w:szCs w:val="20"/>
                <w:u w:color="000000"/>
                <w:bdr w:val="nil"/>
                <w:lang w:val="pt-PT" w:eastAsia="nl-NL"/>
              </w:rPr>
            </w:pPr>
            <w:r w:rsidRPr="00D35DC6">
              <w:rPr>
                <w:rFonts w:ascii="Arial" w:hAnsi="Arial" w:cs="Arial"/>
                <w:b/>
                <w:color w:val="000000"/>
                <w:sz w:val="20"/>
                <w:szCs w:val="20"/>
                <w:u w:color="000000"/>
                <w:bdr w:val="nil"/>
                <w:lang w:val="pt-PT" w:eastAsia="nl-NL"/>
              </w:rPr>
              <w:t>Afdeling</w:t>
            </w:r>
          </w:p>
        </w:tc>
        <w:tc>
          <w:tcPr>
            <w:tcW w:w="6318"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lang w:val="pt-PT" w:eastAsia="nl-NL"/>
              </w:rPr>
            </w:pPr>
            <w:r w:rsidRPr="00D35DC6">
              <w:rPr>
                <w:rFonts w:ascii="Arial" w:eastAsia="Arial" w:hAnsi="Arial" w:cs="Arial"/>
                <w:color w:val="000000"/>
                <w:sz w:val="20"/>
                <w:szCs w:val="20"/>
                <w:u w:color="000000"/>
                <w:bdr w:val="nil"/>
                <w:lang w:val="pt-PT" w:eastAsia="nl-NL"/>
              </w:rPr>
              <w:t>Neurologie en geriatrie</w:t>
            </w:r>
          </w:p>
        </w:tc>
      </w:tr>
      <w:tr w:rsidR="005F5EB9" w:rsidRPr="00D35DC6" w:rsidTr="00D35DC6">
        <w:trPr>
          <w:trHeight w:val="250"/>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b/>
                <w:color w:val="000000"/>
                <w:sz w:val="20"/>
                <w:szCs w:val="20"/>
                <w:u w:color="000000"/>
                <w:bdr w:val="nil"/>
                <w:lang w:val="pt-PT" w:eastAsia="nl-NL"/>
              </w:rPr>
            </w:pPr>
            <w:r w:rsidRPr="00D35DC6">
              <w:rPr>
                <w:rFonts w:ascii="Arial" w:hAnsi="Arial" w:cs="Arial"/>
                <w:b/>
                <w:color w:val="000000"/>
                <w:sz w:val="20"/>
                <w:szCs w:val="20"/>
                <w:u w:color="000000"/>
                <w:bdr w:val="nil"/>
                <w:lang w:val="pt-PT" w:eastAsia="nl-NL"/>
              </w:rPr>
              <w:t xml:space="preserve">Opleider </w:t>
            </w:r>
          </w:p>
        </w:tc>
        <w:tc>
          <w:tcPr>
            <w:tcW w:w="6318"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lang w:val="pt-PT" w:eastAsia="nl-NL"/>
              </w:rPr>
            </w:pPr>
            <w:r w:rsidRPr="00D35DC6">
              <w:rPr>
                <w:rFonts w:ascii="Arial" w:eastAsia="Arial" w:hAnsi="Arial" w:cs="Arial"/>
                <w:color w:val="000000"/>
                <w:sz w:val="20"/>
                <w:szCs w:val="20"/>
                <w:u w:color="000000"/>
                <w:bdr w:val="nil"/>
                <w:lang w:val="pt-PT" w:eastAsia="nl-NL"/>
              </w:rPr>
              <w:t>Marijke Eurelings</w:t>
            </w:r>
          </w:p>
        </w:tc>
      </w:tr>
      <w:tr w:rsidR="005F5EB9" w:rsidRPr="00D35DC6" w:rsidTr="00D35DC6">
        <w:trPr>
          <w:trHeight w:val="250"/>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b/>
                <w:color w:val="000000"/>
                <w:sz w:val="20"/>
                <w:szCs w:val="20"/>
                <w:u w:color="000000"/>
                <w:bdr w:val="nil"/>
                <w:lang w:val="pt-PT" w:eastAsia="nl-NL"/>
              </w:rPr>
            </w:pPr>
            <w:r w:rsidRPr="00D35DC6">
              <w:rPr>
                <w:rFonts w:ascii="Arial" w:hAnsi="Arial" w:cs="Arial"/>
                <w:b/>
                <w:color w:val="000000"/>
                <w:sz w:val="20"/>
                <w:szCs w:val="20"/>
                <w:u w:color="000000"/>
                <w:bdr w:val="nil"/>
                <w:lang w:val="pt-PT" w:eastAsia="nl-NL"/>
              </w:rPr>
              <w:t>Supervisor(s)</w:t>
            </w:r>
          </w:p>
        </w:tc>
        <w:tc>
          <w:tcPr>
            <w:tcW w:w="6318"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lang w:val="pt-PT" w:eastAsia="nl-NL"/>
              </w:rPr>
            </w:pPr>
            <w:r w:rsidRPr="00D35DC6">
              <w:rPr>
                <w:rFonts w:ascii="Arial" w:eastAsia="Arial" w:hAnsi="Arial" w:cs="Arial"/>
                <w:color w:val="000000"/>
                <w:sz w:val="20"/>
                <w:szCs w:val="20"/>
                <w:u w:color="000000"/>
                <w:bdr w:val="nil"/>
                <w:lang w:val="pt-PT" w:eastAsia="nl-NL"/>
              </w:rPr>
              <w:t>Geriatrie: Bob van Deelen, Kees Kalisvaart; Neurologie: Marijke Eurelings, Niki Schoonenboom, Frank de Beer</w:t>
            </w:r>
          </w:p>
        </w:tc>
      </w:tr>
      <w:tr w:rsidR="005F5EB9" w:rsidRPr="00D35DC6" w:rsidTr="00D35DC6">
        <w:trPr>
          <w:trHeight w:val="176"/>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b/>
                <w:color w:val="000000"/>
                <w:sz w:val="20"/>
                <w:szCs w:val="20"/>
                <w:u w:color="000000"/>
                <w:bdr w:val="nil"/>
                <w:lang w:val="pt-PT" w:eastAsia="nl-NL"/>
              </w:rPr>
            </w:pPr>
            <w:r w:rsidRPr="00D35DC6">
              <w:rPr>
                <w:rFonts w:ascii="Arial" w:hAnsi="Arial" w:cs="Arial"/>
                <w:b/>
                <w:color w:val="000000"/>
                <w:sz w:val="20"/>
                <w:szCs w:val="20"/>
                <w:u w:color="000000"/>
                <w:bdr w:val="nil"/>
                <w:lang w:val="pt-PT" w:eastAsia="nl-NL"/>
              </w:rPr>
              <w:t xml:space="preserve">Duur </w:t>
            </w:r>
          </w:p>
        </w:tc>
        <w:tc>
          <w:tcPr>
            <w:tcW w:w="6318"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lang w:val="pt-PT" w:eastAsia="nl-NL"/>
              </w:rPr>
            </w:pPr>
            <w:r w:rsidRPr="00D35DC6">
              <w:rPr>
                <w:rFonts w:ascii="Arial" w:eastAsia="Arial" w:hAnsi="Arial" w:cs="Arial"/>
                <w:color w:val="000000"/>
                <w:sz w:val="20"/>
                <w:szCs w:val="20"/>
                <w:u w:color="000000"/>
                <w:bdr w:val="nil"/>
                <w:lang w:val="pt-PT" w:eastAsia="nl-NL"/>
              </w:rPr>
              <w:t>6 maanden</w:t>
            </w:r>
          </w:p>
        </w:tc>
      </w:tr>
      <w:tr w:rsidR="005F5EB9" w:rsidRPr="00D35DC6" w:rsidTr="00D35DC6">
        <w:trPr>
          <w:trHeight w:val="176"/>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b/>
                <w:color w:val="000000"/>
                <w:sz w:val="20"/>
                <w:szCs w:val="20"/>
                <w:u w:color="000000"/>
                <w:bdr w:val="nil"/>
                <w:lang w:val="pt-PT" w:eastAsia="nl-NL"/>
              </w:rPr>
            </w:pPr>
            <w:r w:rsidRPr="00D35DC6">
              <w:rPr>
                <w:rFonts w:ascii="Arial" w:hAnsi="Arial" w:cs="Arial"/>
                <w:b/>
                <w:color w:val="000000"/>
                <w:sz w:val="20"/>
                <w:szCs w:val="20"/>
                <w:u w:color="000000"/>
                <w:bdr w:val="nil"/>
                <w:lang w:val="pt-PT" w:eastAsia="nl-NL"/>
              </w:rPr>
              <w:t>Voorwaardelijk</w:t>
            </w:r>
          </w:p>
        </w:tc>
        <w:tc>
          <w:tcPr>
            <w:tcW w:w="6318" w:type="dxa"/>
            <w:shd w:val="clear" w:color="auto" w:fill="auto"/>
            <w:tcMar>
              <w:top w:w="80" w:type="dxa"/>
              <w:left w:w="80" w:type="dxa"/>
              <w:bottom w:w="80" w:type="dxa"/>
              <w:right w:w="80" w:type="dxa"/>
            </w:tcMar>
          </w:tcPr>
          <w:p w:rsidR="005F5EB9" w:rsidRPr="00D35DC6" w:rsidRDefault="005F5EB9" w:rsidP="00EB2D38">
            <w:pPr>
              <w:pStyle w:val="Geenafstand"/>
              <w:rPr>
                <w:rFonts w:ascii="Arial" w:hAnsi="Arial" w:cs="Arial"/>
                <w:szCs w:val="20"/>
                <w:bdr w:val="nil"/>
                <w:lang w:val="pt-PT" w:eastAsia="nl-NL"/>
              </w:rPr>
            </w:pPr>
            <w:r w:rsidRPr="00D35DC6">
              <w:rPr>
                <w:rFonts w:ascii="Arial" w:hAnsi="Arial" w:cs="Arial"/>
                <w:szCs w:val="20"/>
                <w:bdr w:val="nil"/>
                <w:lang w:val="pt-PT" w:eastAsia="nl-NL"/>
              </w:rPr>
              <w:t xml:space="preserve">Poliklinische ervaring </w:t>
            </w:r>
          </w:p>
          <w:p w:rsidR="005F5EB9" w:rsidRPr="00D35DC6" w:rsidRDefault="005F5EB9" w:rsidP="00EB2D38">
            <w:pPr>
              <w:pStyle w:val="Geenafstand"/>
              <w:rPr>
                <w:rFonts w:ascii="Arial" w:eastAsia="Arial" w:hAnsi="Arial" w:cs="Arial"/>
                <w:color w:val="000000"/>
                <w:szCs w:val="20"/>
                <w:u w:color="000000"/>
                <w:bdr w:val="nil"/>
                <w:lang w:val="pt-PT" w:eastAsia="nl-NL"/>
              </w:rPr>
            </w:pPr>
            <w:r w:rsidRPr="00D35DC6">
              <w:rPr>
                <w:rFonts w:ascii="Arial" w:hAnsi="Arial" w:cs="Arial"/>
                <w:szCs w:val="20"/>
                <w:bdr w:val="nil"/>
                <w:lang w:val="pt-PT" w:eastAsia="nl-NL"/>
              </w:rPr>
              <w:t>Toestemming opleider en toestemming college van toetsing/RGS</w:t>
            </w:r>
          </w:p>
        </w:tc>
      </w:tr>
      <w:tr w:rsidR="005F5EB9" w:rsidRPr="00D35DC6" w:rsidTr="00D35DC6">
        <w:trPr>
          <w:trHeight w:val="176"/>
        </w:trPr>
        <w:tc>
          <w:tcPr>
            <w:tcW w:w="2164" w:type="dxa"/>
            <w:shd w:val="clear" w:color="auto" w:fill="F2F2F2"/>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color w:val="000000"/>
                <w:sz w:val="20"/>
                <w:szCs w:val="20"/>
                <w:u w:color="000000"/>
                <w:bdr w:val="nil"/>
                <w:lang w:val="pt-PT" w:eastAsia="nl-NL"/>
              </w:rPr>
            </w:pPr>
          </w:p>
        </w:tc>
        <w:tc>
          <w:tcPr>
            <w:tcW w:w="6318" w:type="dxa"/>
            <w:shd w:val="clear" w:color="auto" w:fill="F2F2F2"/>
            <w:tcMar>
              <w:top w:w="80" w:type="dxa"/>
              <w:left w:w="80" w:type="dxa"/>
              <w:bottom w:w="80" w:type="dxa"/>
              <w:right w:w="80" w:type="dxa"/>
            </w:tcMar>
          </w:tcPr>
          <w:p w:rsidR="005F5EB9" w:rsidRPr="00D35DC6" w:rsidRDefault="005F5EB9" w:rsidP="00EB2D38">
            <w:pPr>
              <w:pStyle w:val="Geenafstand"/>
              <w:rPr>
                <w:rFonts w:ascii="Arial" w:eastAsia="Arial" w:hAnsi="Arial" w:cs="Arial"/>
                <w:color w:val="000000"/>
                <w:szCs w:val="20"/>
                <w:u w:color="000000"/>
                <w:bdr w:val="nil"/>
                <w:lang w:val="pt-PT" w:eastAsia="nl-NL"/>
              </w:rPr>
            </w:pPr>
          </w:p>
        </w:tc>
      </w:tr>
      <w:tr w:rsidR="005F5EB9" w:rsidRPr="00D35DC6" w:rsidTr="00D35DC6">
        <w:trPr>
          <w:trHeight w:val="1103"/>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b/>
                <w:color w:val="000000"/>
                <w:sz w:val="20"/>
                <w:szCs w:val="20"/>
                <w:u w:color="000000"/>
                <w:bdr w:val="nil"/>
                <w:lang w:val="pt-PT" w:eastAsia="nl-NL"/>
              </w:rPr>
            </w:pPr>
            <w:r w:rsidRPr="00D35DC6">
              <w:rPr>
                <w:rFonts w:ascii="Arial" w:hAnsi="Arial" w:cs="Arial"/>
                <w:b/>
                <w:color w:val="000000"/>
                <w:sz w:val="20"/>
                <w:szCs w:val="20"/>
                <w:u w:color="000000"/>
                <w:bdr w:val="nil"/>
                <w:lang w:val="pt-PT" w:eastAsia="nl-NL"/>
              </w:rPr>
              <w:t>Context</w:t>
            </w:r>
          </w:p>
        </w:tc>
        <w:tc>
          <w:tcPr>
            <w:tcW w:w="6318" w:type="dxa"/>
            <w:shd w:val="clear" w:color="auto" w:fill="auto"/>
            <w:tcMar>
              <w:top w:w="80" w:type="dxa"/>
              <w:left w:w="80" w:type="dxa"/>
              <w:bottom w:w="80" w:type="dxa"/>
              <w:right w:w="80" w:type="dxa"/>
            </w:tcMar>
          </w:tcPr>
          <w:p w:rsidR="005F5EB9" w:rsidRPr="00D35DC6" w:rsidRDefault="005F5EB9" w:rsidP="00EB2D38">
            <w:pPr>
              <w:pStyle w:val="Geenafstand"/>
              <w:rPr>
                <w:rFonts w:ascii="Arial" w:eastAsia="Arial" w:hAnsi="Arial" w:cs="Arial"/>
                <w:color w:val="000000"/>
                <w:szCs w:val="20"/>
                <w:u w:color="000000"/>
                <w:bdr w:val="nil"/>
                <w:lang w:val="pt-PT" w:eastAsia="nl-NL"/>
              </w:rPr>
            </w:pPr>
            <w:r w:rsidRPr="00D35DC6">
              <w:rPr>
                <w:rFonts w:ascii="Arial" w:hAnsi="Arial" w:cs="Arial"/>
                <w:szCs w:val="20"/>
                <w:bdr w:val="nil"/>
                <w:lang w:val="pt-PT" w:eastAsia="nl-NL"/>
              </w:rPr>
              <w:t>Tijdens de stage werk je in de kliniek en op de polikliniek. In de eerste 6 weken van de stage maak je kennis met de afdelingen geriatrie (4 weken) en neurologie (2 weken). Daarna doe je consulten op de afdelingen en op de SEH bij oudere patienten met vraagstelling: delier, geheugenstoornissen, loopproblemen, evenwicht en bewegingsstoornissen, vallen en zie je patienten op de geheugenpoli of valpoli. Hierbij word je gesuperviseerd door verschillende geriaters en neurologen met verschillende thema’s passend binnen de zorg voor de oudere patient als aandachtsgebied en word je begeleid door de deelopleider (Eurelings) en de opleider geriatrie (Van Deelen). Je participeert in multidicliplinaire zorg op de afdeling en op de poli rond patienten met cognitieve stoornissen of vallen.</w:t>
            </w:r>
            <w:r w:rsidRPr="00D35DC6">
              <w:rPr>
                <w:rFonts w:ascii="Arial" w:eastAsia="Arial" w:hAnsi="Arial" w:cs="Arial"/>
                <w:color w:val="000000"/>
                <w:szCs w:val="20"/>
                <w:u w:color="000000"/>
                <w:bdr w:val="nil"/>
                <w:lang w:val="pt-PT" w:eastAsia="nl-NL"/>
              </w:rPr>
              <w:t xml:space="preserve"> Diensten worden niet gedaan.</w:t>
            </w:r>
          </w:p>
        </w:tc>
      </w:tr>
      <w:tr w:rsidR="005F5EB9" w:rsidRPr="00D35DC6" w:rsidTr="00D35DC6">
        <w:trPr>
          <w:trHeight w:val="475"/>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b/>
                <w:color w:val="000000"/>
                <w:sz w:val="20"/>
                <w:szCs w:val="20"/>
                <w:u w:color="000000"/>
                <w:bdr w:val="nil"/>
                <w:lang w:val="pt-PT" w:eastAsia="nl-NL"/>
              </w:rPr>
            </w:pPr>
            <w:r w:rsidRPr="00D35DC6">
              <w:rPr>
                <w:rFonts w:ascii="Arial" w:hAnsi="Arial" w:cs="Arial"/>
                <w:b/>
                <w:color w:val="000000"/>
                <w:sz w:val="20"/>
                <w:szCs w:val="20"/>
                <w:u w:color="000000"/>
                <w:bdr w:val="nil"/>
                <w:lang w:val="pt-PT" w:eastAsia="nl-NL"/>
              </w:rPr>
              <w:t>Wat ga je leren?</w:t>
            </w:r>
          </w:p>
        </w:tc>
        <w:tc>
          <w:tcPr>
            <w:tcW w:w="6318" w:type="dxa"/>
            <w:shd w:val="clear" w:color="auto" w:fill="auto"/>
            <w:tcMar>
              <w:top w:w="80" w:type="dxa"/>
              <w:left w:w="80" w:type="dxa"/>
              <w:bottom w:w="80" w:type="dxa"/>
              <w:right w:w="80" w:type="dxa"/>
            </w:tcMar>
          </w:tcPr>
          <w:p w:rsidR="005F5EB9" w:rsidRPr="00D35DC6" w:rsidRDefault="005F5EB9" w:rsidP="00EB2D38">
            <w:pPr>
              <w:pStyle w:val="Geenafstand"/>
              <w:rPr>
                <w:rFonts w:ascii="Arial" w:hAnsi="Arial" w:cs="Arial"/>
                <w:szCs w:val="20"/>
                <w:bdr w:val="nil"/>
                <w:lang w:val="pt-PT" w:eastAsia="nl-NL"/>
              </w:rPr>
            </w:pPr>
            <w:r w:rsidRPr="00D35DC6">
              <w:rPr>
                <w:rFonts w:ascii="Arial" w:hAnsi="Arial" w:cs="Arial"/>
                <w:szCs w:val="20"/>
                <w:bdr w:val="nil"/>
                <w:lang w:val="pt-PT" w:eastAsia="nl-NL"/>
              </w:rPr>
              <w:t>Ontwikkelen van gevoeligheid voor de kwetsbaarheid van oudere patienten</w:t>
            </w:r>
          </w:p>
          <w:p w:rsidR="005F5EB9" w:rsidRPr="00D35DC6" w:rsidRDefault="005F5EB9" w:rsidP="00EB2D38">
            <w:pPr>
              <w:pStyle w:val="Geenafstand"/>
              <w:rPr>
                <w:rFonts w:ascii="Arial" w:hAnsi="Arial" w:cs="Arial"/>
                <w:szCs w:val="20"/>
                <w:bdr w:val="nil"/>
                <w:lang w:val="pt-PT" w:eastAsia="nl-NL"/>
              </w:rPr>
            </w:pPr>
            <w:r w:rsidRPr="00D35DC6">
              <w:rPr>
                <w:rFonts w:ascii="Arial" w:hAnsi="Arial" w:cs="Arial"/>
                <w:szCs w:val="20"/>
                <w:bdr w:val="nil"/>
                <w:lang w:val="pt-PT" w:eastAsia="nl-NL"/>
              </w:rPr>
              <w:t>Inzicht in comorbiditeit/multimorbiditeit en bijwerkingen van medicatie bij ouderen</w:t>
            </w:r>
          </w:p>
          <w:p w:rsidR="005F5EB9" w:rsidRPr="00D35DC6" w:rsidRDefault="005F5EB9" w:rsidP="00EB2D38">
            <w:pPr>
              <w:pStyle w:val="Geenafstand"/>
              <w:rPr>
                <w:rFonts w:ascii="Arial" w:hAnsi="Arial" w:cs="Arial"/>
                <w:szCs w:val="20"/>
                <w:bdr w:val="nil"/>
                <w:lang w:val="pt-PT" w:eastAsia="nl-NL"/>
              </w:rPr>
            </w:pPr>
            <w:r w:rsidRPr="00D35DC6">
              <w:rPr>
                <w:rFonts w:ascii="Arial" w:hAnsi="Arial" w:cs="Arial"/>
                <w:szCs w:val="20"/>
                <w:bdr w:val="nil"/>
                <w:lang w:val="pt-PT" w:eastAsia="nl-NL"/>
              </w:rPr>
              <w:t>Herkennen van delier en bepalen van vergrote kans op delier</w:t>
            </w:r>
          </w:p>
          <w:p w:rsidR="005F5EB9" w:rsidRPr="00D35DC6" w:rsidRDefault="005F5EB9" w:rsidP="00EB2D38">
            <w:pPr>
              <w:pStyle w:val="Geenafstand"/>
              <w:rPr>
                <w:rFonts w:ascii="Arial" w:eastAsia="Arial" w:hAnsi="Arial" w:cs="Arial"/>
                <w:color w:val="000000"/>
                <w:szCs w:val="20"/>
                <w:u w:color="000000"/>
                <w:bdr w:val="nil"/>
                <w:lang w:val="pt-PT" w:eastAsia="nl-NL"/>
              </w:rPr>
            </w:pPr>
            <w:r w:rsidRPr="00D35DC6">
              <w:rPr>
                <w:rFonts w:ascii="Arial" w:hAnsi="Arial" w:cs="Arial"/>
                <w:szCs w:val="20"/>
                <w:bdr w:val="nil"/>
                <w:lang w:val="pt-PT" w:eastAsia="nl-NL"/>
              </w:rPr>
              <w:t>Kennis en vaardigheden in thema’s cognitieve stoornissen, bewegingsstoornissen</w:t>
            </w:r>
          </w:p>
        </w:tc>
      </w:tr>
      <w:tr w:rsidR="005F5EB9" w:rsidRPr="00D35DC6" w:rsidTr="00D35DC6">
        <w:trPr>
          <w:trHeight w:val="475"/>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b/>
                <w:color w:val="000000"/>
                <w:sz w:val="20"/>
                <w:szCs w:val="20"/>
                <w:u w:color="000000"/>
                <w:bdr w:val="nil"/>
                <w:lang w:val="pt-PT" w:eastAsia="nl-NL"/>
              </w:rPr>
            </w:pPr>
            <w:r w:rsidRPr="00D35DC6">
              <w:rPr>
                <w:rFonts w:ascii="Arial" w:hAnsi="Arial" w:cs="Arial"/>
                <w:b/>
                <w:color w:val="000000"/>
                <w:sz w:val="20"/>
                <w:szCs w:val="20"/>
                <w:u w:color="000000"/>
                <w:bdr w:val="nil"/>
                <w:lang w:val="pt-PT" w:eastAsia="nl-NL"/>
              </w:rPr>
              <w:t>Hoe ga je leren?</w:t>
            </w:r>
          </w:p>
        </w:tc>
        <w:tc>
          <w:tcPr>
            <w:tcW w:w="6318" w:type="dxa"/>
            <w:shd w:val="clear" w:color="auto" w:fill="auto"/>
            <w:tcMar>
              <w:top w:w="80" w:type="dxa"/>
              <w:left w:w="80" w:type="dxa"/>
              <w:bottom w:w="80" w:type="dxa"/>
              <w:right w:w="80" w:type="dxa"/>
            </w:tcMar>
          </w:tcPr>
          <w:p w:rsidR="005F5EB9" w:rsidRPr="00D35DC6" w:rsidRDefault="005F5EB9" w:rsidP="00EB2D38">
            <w:pPr>
              <w:pStyle w:val="Geenafstand"/>
              <w:rPr>
                <w:rFonts w:ascii="Arial" w:hAnsi="Arial" w:cs="Arial"/>
                <w:szCs w:val="20"/>
                <w:bdr w:val="nil"/>
                <w:lang w:val="pt-PT" w:eastAsia="nl-NL"/>
              </w:rPr>
            </w:pPr>
            <w:r w:rsidRPr="00D35DC6">
              <w:rPr>
                <w:rFonts w:ascii="Arial" w:hAnsi="Arial" w:cs="Arial"/>
                <w:szCs w:val="20"/>
                <w:bdr w:val="nil"/>
                <w:lang w:val="pt-PT" w:eastAsia="nl-NL"/>
              </w:rPr>
              <w:t>Maand 1-2</w:t>
            </w:r>
          </w:p>
          <w:p w:rsidR="005F5EB9" w:rsidRPr="00D35DC6" w:rsidRDefault="00D35DC6" w:rsidP="005F5EB9">
            <w:pPr>
              <w:pStyle w:val="Geenafstand"/>
              <w:numPr>
                <w:ilvl w:val="0"/>
                <w:numId w:val="1"/>
              </w:numPr>
              <w:rPr>
                <w:rFonts w:ascii="Arial" w:hAnsi="Arial" w:cs="Arial"/>
                <w:szCs w:val="20"/>
                <w:bdr w:val="nil"/>
                <w:lang w:val="pt-PT" w:eastAsia="nl-NL"/>
              </w:rPr>
            </w:pPr>
            <w:r>
              <w:rPr>
                <w:rFonts w:ascii="Arial" w:hAnsi="Arial" w:cs="Arial"/>
                <w:szCs w:val="20"/>
                <w:bdr w:val="nil"/>
                <w:lang w:val="pt-PT" w:eastAsia="nl-NL"/>
              </w:rPr>
              <w:t>A</w:t>
            </w:r>
            <w:r w:rsidR="005F5EB9" w:rsidRPr="00D35DC6">
              <w:rPr>
                <w:rFonts w:ascii="Arial" w:hAnsi="Arial" w:cs="Arial"/>
                <w:szCs w:val="20"/>
                <w:bdr w:val="nil"/>
                <w:lang w:val="pt-PT" w:eastAsia="nl-NL"/>
              </w:rPr>
              <w:t xml:space="preserve">an de hand van je IOP worden je leerdoelen bepaald </w:t>
            </w:r>
          </w:p>
          <w:p w:rsidR="005F5EB9" w:rsidRPr="00D35DC6" w:rsidRDefault="005F5EB9" w:rsidP="005F5EB9">
            <w:pPr>
              <w:pStyle w:val="Geenafstand"/>
              <w:numPr>
                <w:ilvl w:val="0"/>
                <w:numId w:val="1"/>
              </w:numPr>
              <w:rPr>
                <w:rFonts w:ascii="Arial" w:hAnsi="Arial" w:cs="Arial"/>
                <w:szCs w:val="20"/>
                <w:bdr w:val="nil"/>
                <w:lang w:val="pt-PT" w:eastAsia="nl-NL"/>
              </w:rPr>
            </w:pPr>
            <w:r w:rsidRPr="00D35DC6">
              <w:rPr>
                <w:rFonts w:ascii="Arial" w:hAnsi="Arial" w:cs="Arial"/>
                <w:szCs w:val="20"/>
                <w:bdr w:val="nil"/>
                <w:lang w:val="pt-PT" w:eastAsia="nl-NL"/>
              </w:rPr>
              <w:t>Introductie in het ziekenhuis, kennismaking met afdeling</w:t>
            </w:r>
          </w:p>
          <w:p w:rsidR="005F5EB9" w:rsidRPr="00D35DC6" w:rsidRDefault="00D35DC6" w:rsidP="005F5EB9">
            <w:pPr>
              <w:pStyle w:val="Geenafstand"/>
              <w:numPr>
                <w:ilvl w:val="0"/>
                <w:numId w:val="1"/>
              </w:numPr>
              <w:rPr>
                <w:rFonts w:ascii="Arial" w:hAnsi="Arial" w:cs="Arial"/>
                <w:szCs w:val="20"/>
                <w:bdr w:val="nil"/>
                <w:lang w:val="pt-PT" w:eastAsia="nl-NL"/>
              </w:rPr>
            </w:pPr>
            <w:r>
              <w:rPr>
                <w:rFonts w:ascii="Arial" w:hAnsi="Arial" w:cs="Arial"/>
                <w:szCs w:val="20"/>
                <w:bdr w:val="nil"/>
                <w:lang w:val="pt-PT" w:eastAsia="nl-NL"/>
              </w:rPr>
              <w:t>S</w:t>
            </w:r>
            <w:r w:rsidR="005F5EB9" w:rsidRPr="00D35DC6">
              <w:rPr>
                <w:rFonts w:ascii="Arial" w:hAnsi="Arial" w:cs="Arial"/>
                <w:szCs w:val="20"/>
                <w:bdr w:val="nil"/>
                <w:lang w:val="pt-PT" w:eastAsia="nl-NL"/>
              </w:rPr>
              <w:t xml:space="preserve">upervisoren en (deel)opleiders </w:t>
            </w:r>
          </w:p>
          <w:p w:rsidR="005F5EB9" w:rsidRPr="00D35DC6" w:rsidRDefault="005F5EB9" w:rsidP="00EB2D38">
            <w:pPr>
              <w:pStyle w:val="Geenafstand"/>
              <w:ind w:left="360"/>
              <w:rPr>
                <w:rFonts w:ascii="Arial" w:hAnsi="Arial" w:cs="Arial"/>
                <w:szCs w:val="20"/>
                <w:bdr w:val="nil"/>
                <w:lang w:val="pt-PT" w:eastAsia="nl-NL"/>
              </w:rPr>
            </w:pPr>
          </w:p>
          <w:p w:rsidR="005F5EB9" w:rsidRPr="00D35DC6" w:rsidRDefault="005F5EB9" w:rsidP="00EB2D38">
            <w:pPr>
              <w:pStyle w:val="Geenafstand"/>
              <w:rPr>
                <w:rFonts w:ascii="Arial" w:hAnsi="Arial" w:cs="Arial"/>
                <w:szCs w:val="20"/>
                <w:bdr w:val="nil"/>
                <w:lang w:val="pt-PT" w:eastAsia="nl-NL"/>
              </w:rPr>
            </w:pPr>
            <w:r w:rsidRPr="00D35DC6">
              <w:rPr>
                <w:rFonts w:ascii="Arial" w:hAnsi="Arial" w:cs="Arial"/>
                <w:szCs w:val="20"/>
                <w:bdr w:val="nil"/>
                <w:lang w:val="pt-PT" w:eastAsia="nl-NL"/>
              </w:rPr>
              <w:t>Maand 3-6</w:t>
            </w:r>
          </w:p>
          <w:p w:rsidR="005F5EB9" w:rsidRPr="00D35DC6" w:rsidRDefault="00D35DC6" w:rsidP="005F5EB9">
            <w:pPr>
              <w:pStyle w:val="Geenafstand"/>
              <w:numPr>
                <w:ilvl w:val="0"/>
                <w:numId w:val="2"/>
              </w:numPr>
              <w:rPr>
                <w:rFonts w:ascii="Arial" w:hAnsi="Arial" w:cs="Arial"/>
                <w:szCs w:val="20"/>
                <w:bdr w:val="nil"/>
                <w:lang w:val="pt-PT" w:eastAsia="nl-NL"/>
              </w:rPr>
            </w:pPr>
            <w:r>
              <w:rPr>
                <w:rFonts w:ascii="Arial" w:hAnsi="Arial" w:cs="Arial"/>
                <w:szCs w:val="20"/>
                <w:bdr w:val="nil"/>
                <w:lang w:val="pt-PT" w:eastAsia="nl-NL"/>
              </w:rPr>
              <w:t>C</w:t>
            </w:r>
            <w:r w:rsidR="005F5EB9" w:rsidRPr="00D35DC6">
              <w:rPr>
                <w:rFonts w:ascii="Arial" w:hAnsi="Arial" w:cs="Arial"/>
                <w:szCs w:val="20"/>
                <w:bdr w:val="nil"/>
                <w:lang w:val="pt-PT" w:eastAsia="nl-NL"/>
              </w:rPr>
              <w:t>onsulten op afdelingen SEH en polikliniek</w:t>
            </w:r>
          </w:p>
          <w:p w:rsidR="005F5EB9" w:rsidRPr="00D35DC6" w:rsidRDefault="005F5EB9" w:rsidP="005F5EB9">
            <w:pPr>
              <w:pStyle w:val="Geenafstand"/>
              <w:numPr>
                <w:ilvl w:val="0"/>
                <w:numId w:val="2"/>
              </w:numPr>
              <w:rPr>
                <w:rFonts w:ascii="Arial" w:hAnsi="Arial" w:cs="Arial"/>
                <w:szCs w:val="20"/>
                <w:bdr w:val="nil"/>
                <w:lang w:val="pt-PT" w:eastAsia="nl-NL"/>
              </w:rPr>
            </w:pPr>
            <w:r w:rsidRPr="00D35DC6">
              <w:rPr>
                <w:rFonts w:ascii="Arial" w:hAnsi="Arial" w:cs="Arial"/>
                <w:szCs w:val="20"/>
                <w:bdr w:val="nil"/>
                <w:lang w:val="pt-PT" w:eastAsia="nl-NL"/>
              </w:rPr>
              <w:t>Je ziet geselecteerde nieuwe en controle patienten op de polikliniek en participeert in het geheugenpoli MDO in Haarlem en Hoofddorp.</w:t>
            </w:r>
          </w:p>
          <w:p w:rsidR="005F5EB9" w:rsidRPr="00D35DC6" w:rsidRDefault="005F5EB9" w:rsidP="005F5EB9">
            <w:pPr>
              <w:pStyle w:val="Geenafstand"/>
              <w:numPr>
                <w:ilvl w:val="0"/>
                <w:numId w:val="2"/>
              </w:numPr>
              <w:rPr>
                <w:rFonts w:ascii="Arial" w:hAnsi="Arial" w:cs="Arial"/>
                <w:szCs w:val="20"/>
                <w:bdr w:val="nil"/>
                <w:lang w:val="pt-PT" w:eastAsia="nl-NL"/>
              </w:rPr>
            </w:pPr>
            <w:r w:rsidRPr="00D35DC6">
              <w:rPr>
                <w:rFonts w:ascii="Arial" w:hAnsi="Arial" w:cs="Arial"/>
                <w:szCs w:val="20"/>
                <w:bdr w:val="nil"/>
                <w:lang w:val="pt-PT" w:eastAsia="nl-NL"/>
              </w:rPr>
              <w:t>Elearning zorg voor de kwetsbare oudere patient</w:t>
            </w:r>
          </w:p>
          <w:p w:rsidR="005F5EB9" w:rsidRPr="00D35DC6" w:rsidRDefault="005F5EB9" w:rsidP="005F5EB9">
            <w:pPr>
              <w:pStyle w:val="Geenafstand"/>
              <w:numPr>
                <w:ilvl w:val="0"/>
                <w:numId w:val="2"/>
              </w:numPr>
              <w:rPr>
                <w:rFonts w:ascii="Arial" w:eastAsia="Calibri" w:hAnsi="Arial" w:cs="Arial"/>
                <w:i/>
                <w:color w:val="000000"/>
                <w:szCs w:val="20"/>
                <w:u w:color="000000"/>
                <w:bdr w:val="nil"/>
                <w:lang w:eastAsia="nl-NL"/>
              </w:rPr>
            </w:pPr>
            <w:r w:rsidRPr="00D35DC6">
              <w:rPr>
                <w:rFonts w:ascii="Arial" w:hAnsi="Arial" w:cs="Arial"/>
                <w:szCs w:val="20"/>
                <w:bdr w:val="nil"/>
                <w:lang w:val="pt-PT" w:eastAsia="nl-NL"/>
              </w:rPr>
              <w:t>Wekelijks vrijdag van 12-13 uur gemeenschappelijk onderwijs met geriatrie neurologie en psychiatrie</w:t>
            </w:r>
          </w:p>
        </w:tc>
      </w:tr>
      <w:tr w:rsidR="005F5EB9" w:rsidRPr="00D35DC6" w:rsidTr="00D35DC6">
        <w:trPr>
          <w:trHeight w:val="475"/>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b/>
                <w:sz w:val="20"/>
                <w:szCs w:val="20"/>
                <w:u w:color="000000"/>
                <w:lang w:val="pt-PT"/>
              </w:rPr>
            </w:pPr>
            <w:r w:rsidRPr="00D35DC6">
              <w:rPr>
                <w:rFonts w:ascii="Arial" w:hAnsi="Arial" w:cs="Arial"/>
                <w:b/>
                <w:sz w:val="20"/>
                <w:szCs w:val="20"/>
                <w:u w:color="000000"/>
                <w:lang w:val="pt-PT"/>
              </w:rPr>
              <w:t>Thema’s</w:t>
            </w:r>
          </w:p>
        </w:tc>
        <w:tc>
          <w:tcPr>
            <w:tcW w:w="6318" w:type="dxa"/>
            <w:shd w:val="clear" w:color="auto" w:fill="auto"/>
            <w:tcMar>
              <w:top w:w="80" w:type="dxa"/>
              <w:left w:w="80" w:type="dxa"/>
              <w:bottom w:w="80" w:type="dxa"/>
              <w:right w:w="80" w:type="dxa"/>
            </w:tcMar>
          </w:tcPr>
          <w:p w:rsidR="005F5EB9" w:rsidRPr="00D35DC6" w:rsidRDefault="005F5EB9" w:rsidP="00EB2D38">
            <w:pPr>
              <w:spacing w:after="0" w:line="240" w:lineRule="auto"/>
              <w:rPr>
                <w:rFonts w:ascii="Arial" w:hAnsi="Arial" w:cs="Arial"/>
                <w:sz w:val="20"/>
                <w:szCs w:val="20"/>
                <w:bdr w:val="nil"/>
                <w:lang w:val="pt-PT" w:eastAsia="nl-NL"/>
              </w:rPr>
            </w:pPr>
            <w:r w:rsidRPr="00D35DC6">
              <w:rPr>
                <w:rFonts w:ascii="Arial" w:hAnsi="Arial" w:cs="Arial"/>
                <w:sz w:val="20"/>
                <w:szCs w:val="20"/>
                <w:bdr w:val="nil"/>
                <w:lang w:val="pt-PT" w:eastAsia="nl-NL"/>
              </w:rPr>
              <w:t>1. cerebrovasculaire ziekten</w:t>
            </w:r>
          </w:p>
          <w:p w:rsidR="005F5EB9" w:rsidRPr="00D35DC6" w:rsidRDefault="005F5EB9" w:rsidP="00EB2D38">
            <w:pPr>
              <w:spacing w:after="0" w:line="240" w:lineRule="auto"/>
              <w:rPr>
                <w:rFonts w:ascii="Arial" w:hAnsi="Arial" w:cs="Arial"/>
                <w:sz w:val="20"/>
                <w:szCs w:val="20"/>
                <w:bdr w:val="nil"/>
                <w:lang w:val="pt-PT" w:eastAsia="nl-NL"/>
              </w:rPr>
            </w:pPr>
            <w:r w:rsidRPr="00D35DC6">
              <w:rPr>
                <w:rFonts w:ascii="Arial" w:hAnsi="Arial" w:cs="Arial"/>
                <w:sz w:val="20"/>
                <w:szCs w:val="20"/>
                <w:bdr w:val="nil"/>
                <w:lang w:val="pt-PT" w:eastAsia="nl-NL"/>
              </w:rPr>
              <w:t>2. bewegingsstoornissen</w:t>
            </w:r>
          </w:p>
          <w:p w:rsidR="005F5EB9" w:rsidRPr="00D35DC6" w:rsidRDefault="005F5EB9" w:rsidP="00EB2D38">
            <w:pPr>
              <w:spacing w:after="0" w:line="240" w:lineRule="auto"/>
              <w:rPr>
                <w:rFonts w:ascii="Arial" w:hAnsi="Arial" w:cs="Arial"/>
                <w:sz w:val="20"/>
                <w:szCs w:val="20"/>
                <w:bdr w:val="nil"/>
                <w:lang w:val="pt-PT" w:eastAsia="nl-NL"/>
              </w:rPr>
            </w:pPr>
            <w:r w:rsidRPr="00D35DC6">
              <w:rPr>
                <w:rFonts w:ascii="Arial" w:hAnsi="Arial" w:cs="Arial"/>
                <w:sz w:val="20"/>
                <w:szCs w:val="20"/>
                <w:bdr w:val="nil"/>
                <w:lang w:val="pt-PT" w:eastAsia="nl-NL"/>
              </w:rPr>
              <w:t>3. cognitieve functiestoornissen en dementie</w:t>
            </w:r>
          </w:p>
          <w:p w:rsidR="005F5EB9" w:rsidRPr="00D35DC6" w:rsidRDefault="005F5EB9" w:rsidP="00EB2D38">
            <w:pPr>
              <w:spacing w:after="0" w:line="240" w:lineRule="auto"/>
              <w:rPr>
                <w:rFonts w:ascii="Arial" w:hAnsi="Arial" w:cs="Arial"/>
                <w:sz w:val="20"/>
                <w:szCs w:val="20"/>
                <w:bdr w:val="nil"/>
                <w:lang w:val="pt-PT" w:eastAsia="nl-NL"/>
              </w:rPr>
            </w:pPr>
            <w:r w:rsidRPr="00D35DC6">
              <w:rPr>
                <w:rFonts w:ascii="Arial" w:hAnsi="Arial" w:cs="Arial"/>
                <w:sz w:val="20"/>
                <w:szCs w:val="20"/>
                <w:bdr w:val="nil"/>
                <w:lang w:val="pt-PT" w:eastAsia="nl-NL"/>
              </w:rPr>
              <w:t>4. epilepsie en kortdurende wegrakingen</w:t>
            </w:r>
          </w:p>
          <w:p w:rsidR="005F5EB9" w:rsidRPr="00D35DC6" w:rsidRDefault="005F5EB9" w:rsidP="00EB2D38">
            <w:pPr>
              <w:spacing w:after="0" w:line="240" w:lineRule="auto"/>
              <w:rPr>
                <w:rFonts w:ascii="Arial" w:hAnsi="Arial" w:cs="Arial"/>
                <w:sz w:val="20"/>
                <w:szCs w:val="20"/>
                <w:bdr w:val="nil"/>
                <w:lang w:val="pt-PT" w:eastAsia="nl-NL"/>
              </w:rPr>
            </w:pPr>
            <w:r w:rsidRPr="00D35DC6">
              <w:rPr>
                <w:rFonts w:ascii="Arial" w:hAnsi="Arial" w:cs="Arial"/>
                <w:sz w:val="20"/>
                <w:szCs w:val="20"/>
                <w:bdr w:val="nil"/>
                <w:lang w:val="pt-PT" w:eastAsia="nl-NL"/>
              </w:rPr>
              <w:t>9. neurotraumatologie</w:t>
            </w:r>
          </w:p>
          <w:p w:rsidR="005F5EB9" w:rsidRPr="00D35DC6" w:rsidRDefault="005F5EB9" w:rsidP="00EB2D38">
            <w:pPr>
              <w:spacing w:after="0" w:line="240" w:lineRule="auto"/>
              <w:rPr>
                <w:rFonts w:ascii="Arial" w:hAnsi="Arial" w:cs="Arial"/>
                <w:sz w:val="20"/>
                <w:szCs w:val="20"/>
                <w:bdr w:val="nil"/>
                <w:lang w:val="pt-PT" w:eastAsia="nl-NL"/>
              </w:rPr>
            </w:pPr>
            <w:r w:rsidRPr="00D35DC6">
              <w:rPr>
                <w:rFonts w:ascii="Arial" w:hAnsi="Arial" w:cs="Arial"/>
                <w:sz w:val="20"/>
                <w:szCs w:val="20"/>
                <w:bdr w:val="nil"/>
                <w:lang w:val="pt-PT" w:eastAsia="nl-NL"/>
              </w:rPr>
              <w:lastRenderedPageBreak/>
              <w:t>10. stoornissen van het bewustzijn en de slaap</w:t>
            </w:r>
          </w:p>
          <w:p w:rsidR="005F5EB9" w:rsidRPr="00D35DC6" w:rsidRDefault="005F5EB9" w:rsidP="00EB2D38">
            <w:pPr>
              <w:spacing w:after="0" w:line="240" w:lineRule="auto"/>
              <w:rPr>
                <w:rFonts w:ascii="Arial" w:hAnsi="Arial" w:cs="Arial"/>
                <w:sz w:val="20"/>
                <w:szCs w:val="20"/>
                <w:bdr w:val="nil"/>
                <w:lang w:val="pt-PT" w:eastAsia="nl-NL"/>
              </w:rPr>
            </w:pPr>
            <w:r w:rsidRPr="00D35DC6">
              <w:rPr>
                <w:rFonts w:ascii="Arial" w:hAnsi="Arial" w:cs="Arial"/>
                <w:sz w:val="20"/>
                <w:szCs w:val="20"/>
                <w:bdr w:val="nil"/>
                <w:lang w:val="pt-PT" w:eastAsia="nl-NL"/>
              </w:rPr>
              <w:t>14 neurologische verschijnselen van interne aandoeningen en intoxicaties</w:t>
            </w:r>
          </w:p>
          <w:p w:rsidR="005F5EB9" w:rsidRPr="00D35DC6" w:rsidRDefault="005F5EB9" w:rsidP="00EB2D38">
            <w:pPr>
              <w:spacing w:after="0" w:line="240" w:lineRule="auto"/>
              <w:rPr>
                <w:rFonts w:ascii="Arial" w:hAnsi="Arial" w:cs="Arial"/>
                <w:sz w:val="20"/>
                <w:szCs w:val="20"/>
                <w:bdr w:val="nil"/>
                <w:lang w:val="pt-PT" w:eastAsia="nl-NL"/>
              </w:rPr>
            </w:pPr>
            <w:r w:rsidRPr="00D35DC6">
              <w:rPr>
                <w:rFonts w:ascii="Arial" w:hAnsi="Arial" w:cs="Arial"/>
                <w:sz w:val="20"/>
                <w:szCs w:val="20"/>
                <w:bdr w:val="nil"/>
                <w:lang w:val="pt-PT" w:eastAsia="nl-NL"/>
              </w:rPr>
              <w:t>15. neuropsychiatrie en functionele stoornissen</w:t>
            </w:r>
          </w:p>
        </w:tc>
      </w:tr>
      <w:tr w:rsidR="005F5EB9" w:rsidRPr="00D35DC6" w:rsidTr="00D35DC6">
        <w:trPr>
          <w:trHeight w:val="475"/>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b/>
                <w:sz w:val="20"/>
                <w:szCs w:val="20"/>
                <w:u w:color="000000"/>
                <w:lang w:val="pt-PT"/>
              </w:rPr>
            </w:pPr>
            <w:r w:rsidRPr="00D35DC6">
              <w:rPr>
                <w:rFonts w:ascii="Arial" w:hAnsi="Arial" w:cs="Arial"/>
                <w:b/>
                <w:sz w:val="20"/>
                <w:szCs w:val="20"/>
                <w:u w:color="000000"/>
                <w:lang w:val="pt-PT"/>
              </w:rPr>
              <w:lastRenderedPageBreak/>
              <w:t>KBA’s</w:t>
            </w:r>
          </w:p>
        </w:tc>
        <w:tc>
          <w:tcPr>
            <w:tcW w:w="6318" w:type="dxa"/>
            <w:shd w:val="clear" w:color="auto" w:fill="auto"/>
            <w:tcMar>
              <w:top w:w="80" w:type="dxa"/>
              <w:left w:w="80" w:type="dxa"/>
              <w:bottom w:w="80" w:type="dxa"/>
              <w:right w:w="80" w:type="dxa"/>
            </w:tcMar>
          </w:tcPr>
          <w:p w:rsidR="005F5EB9" w:rsidRPr="00D35DC6" w:rsidRDefault="005F5EB9" w:rsidP="005F5EB9">
            <w:pPr>
              <w:numPr>
                <w:ilvl w:val="0"/>
                <w:numId w:val="3"/>
              </w:numPr>
              <w:spacing w:after="0" w:line="240" w:lineRule="auto"/>
              <w:ind w:left="360"/>
              <w:rPr>
                <w:rFonts w:ascii="Arial" w:hAnsi="Arial" w:cs="Arial"/>
                <w:sz w:val="20"/>
                <w:szCs w:val="20"/>
              </w:rPr>
            </w:pPr>
            <w:r w:rsidRPr="00D35DC6">
              <w:rPr>
                <w:rFonts w:ascii="Arial" w:hAnsi="Arial" w:cs="Arial"/>
                <w:sz w:val="20"/>
                <w:szCs w:val="20"/>
              </w:rPr>
              <w:t xml:space="preserve">Werken op de spoedeisende hulp </w:t>
            </w:r>
          </w:p>
          <w:p w:rsidR="005F5EB9" w:rsidRPr="00D35DC6" w:rsidRDefault="005F5EB9" w:rsidP="005F5EB9">
            <w:pPr>
              <w:numPr>
                <w:ilvl w:val="0"/>
                <w:numId w:val="4"/>
              </w:numPr>
              <w:spacing w:after="0" w:line="240" w:lineRule="auto"/>
              <w:ind w:left="360"/>
              <w:rPr>
                <w:rFonts w:ascii="Arial" w:hAnsi="Arial" w:cs="Arial"/>
                <w:sz w:val="20"/>
                <w:szCs w:val="20"/>
              </w:rPr>
            </w:pPr>
            <w:r w:rsidRPr="00D35DC6">
              <w:rPr>
                <w:rFonts w:ascii="Arial" w:hAnsi="Arial" w:cs="Arial"/>
                <w:sz w:val="20"/>
                <w:szCs w:val="20"/>
              </w:rPr>
              <w:t>Uitvoeren van een poliklinisch spreekuur met eenvoudige problematiek</w:t>
            </w:r>
          </w:p>
          <w:p w:rsidR="005F5EB9" w:rsidRPr="00D35DC6" w:rsidRDefault="005F5EB9" w:rsidP="005F5EB9">
            <w:pPr>
              <w:numPr>
                <w:ilvl w:val="0"/>
                <w:numId w:val="4"/>
              </w:numPr>
              <w:spacing w:after="0" w:line="240" w:lineRule="auto"/>
              <w:ind w:left="360"/>
              <w:rPr>
                <w:rFonts w:ascii="Arial" w:hAnsi="Arial" w:cs="Arial"/>
                <w:sz w:val="20"/>
                <w:szCs w:val="20"/>
                <w:bdr w:val="nil"/>
                <w:lang w:val="pt-PT" w:eastAsia="nl-NL"/>
              </w:rPr>
            </w:pPr>
            <w:r w:rsidRPr="00D35DC6">
              <w:rPr>
                <w:rFonts w:ascii="Arial" w:hAnsi="Arial" w:cs="Arial"/>
                <w:sz w:val="20"/>
                <w:szCs w:val="20"/>
              </w:rPr>
              <w:t>Uitvoeren van een poliklinisch spreekuur met complexe problematiek</w:t>
            </w:r>
          </w:p>
        </w:tc>
      </w:tr>
      <w:tr w:rsidR="005F5EB9" w:rsidRPr="00D35DC6" w:rsidTr="00D35DC6">
        <w:trPr>
          <w:trHeight w:val="475"/>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center"/>
              <w:rPr>
                <w:rFonts w:ascii="Arial" w:hAnsi="Arial" w:cs="Arial"/>
                <w:b/>
                <w:color w:val="000000"/>
                <w:sz w:val="20"/>
                <w:szCs w:val="20"/>
                <w:u w:color="000000"/>
                <w:bdr w:val="nil"/>
                <w:lang w:val="pt-PT" w:eastAsia="nl-NL"/>
              </w:rPr>
            </w:pPr>
            <w:r w:rsidRPr="00D35DC6">
              <w:rPr>
                <w:rFonts w:ascii="Arial" w:hAnsi="Arial" w:cs="Arial"/>
                <w:b/>
                <w:sz w:val="20"/>
                <w:szCs w:val="20"/>
                <w:u w:color="000000"/>
                <w:lang w:val="pt-PT"/>
              </w:rPr>
              <w:t>KPB’s, CAT’s  en overige instrumenten</w:t>
            </w:r>
          </w:p>
        </w:tc>
        <w:tc>
          <w:tcPr>
            <w:tcW w:w="6318" w:type="dxa"/>
            <w:shd w:val="clear" w:color="auto" w:fill="auto"/>
            <w:tcMar>
              <w:top w:w="80" w:type="dxa"/>
              <w:left w:w="80" w:type="dxa"/>
              <w:bottom w:w="80" w:type="dxa"/>
              <w:right w:w="80" w:type="dxa"/>
            </w:tcMar>
          </w:tcPr>
          <w:p w:rsidR="005F5EB9" w:rsidRPr="00D35DC6" w:rsidRDefault="005F5EB9" w:rsidP="00EB2D38">
            <w:pPr>
              <w:pStyle w:val="Geenafstand"/>
              <w:rPr>
                <w:rFonts w:ascii="Arial" w:hAnsi="Arial" w:cs="Arial"/>
                <w:szCs w:val="20"/>
                <w:bdr w:val="nil"/>
                <w:lang w:val="pt-PT" w:eastAsia="nl-NL"/>
              </w:rPr>
            </w:pPr>
            <w:r w:rsidRPr="00D35DC6">
              <w:rPr>
                <w:rFonts w:ascii="Arial" w:hAnsi="Arial" w:cs="Arial"/>
                <w:szCs w:val="20"/>
                <w:bdr w:val="nil"/>
                <w:lang w:val="pt-PT" w:eastAsia="nl-NL"/>
              </w:rPr>
              <w:t>Je stelt een individueel opleidingsplan (IOP) op. Dit plan wordt voorgelegd aan de opleider en het College van Toetsing / RGS. Het IOP bevat tenminste een omschrijving van de persoonlijke leerdoelen en een plan voor de stage. De leerdoelen worden samen met de opleider voorafgaand aan de start van de stage en na 1 maand beoordeeld en zo nodig aangepast.</w:t>
            </w:r>
          </w:p>
          <w:p w:rsidR="005F5EB9" w:rsidRPr="00D35DC6" w:rsidRDefault="005F5EB9" w:rsidP="00EB2D38">
            <w:pPr>
              <w:pStyle w:val="Geenafstand"/>
              <w:rPr>
                <w:rFonts w:ascii="Arial" w:hAnsi="Arial" w:cs="Arial"/>
                <w:szCs w:val="20"/>
                <w:bdr w:val="nil"/>
                <w:lang w:val="pt-PT" w:eastAsia="nl-NL"/>
              </w:rPr>
            </w:pPr>
            <w:r w:rsidRPr="00D35DC6">
              <w:rPr>
                <w:rFonts w:ascii="Arial" w:hAnsi="Arial" w:cs="Arial"/>
                <w:szCs w:val="20"/>
                <w:bdr w:val="nil"/>
                <w:lang w:val="pt-PT" w:eastAsia="nl-NL"/>
              </w:rPr>
              <w:t>Halverwege en aan het einde van de stage wordt getoetst op je ontwikkeling van de CANMED competenties: samenwerken, communicatie, organiseren en maatschappelijk handelen en je functioneren ten aanzien van de specifieke leerdoelen bij de oudere patient.</w:t>
            </w:r>
          </w:p>
          <w:p w:rsidR="005F5EB9" w:rsidRPr="00D35DC6" w:rsidRDefault="005F5EB9" w:rsidP="00EB2D38">
            <w:pPr>
              <w:pStyle w:val="Geenafstand"/>
              <w:rPr>
                <w:rFonts w:ascii="Arial" w:hAnsi="Arial" w:cs="Arial"/>
                <w:szCs w:val="20"/>
                <w:bdr w:val="nil"/>
                <w:lang w:val="pt-PT" w:eastAsia="nl-NL"/>
              </w:rPr>
            </w:pPr>
            <w:r w:rsidRPr="00D35DC6">
              <w:rPr>
                <w:rFonts w:ascii="Arial" w:hAnsi="Arial" w:cs="Arial"/>
                <w:szCs w:val="20"/>
                <w:bdr w:val="nil"/>
                <w:lang w:val="pt-PT" w:eastAsia="nl-NL"/>
              </w:rPr>
              <w:t>Je doet KPB’s en CAT’s met betrekking tot  (poli)klinische patiëntenzorg in gekozen thema’s over veelvoorkomende neurologische aandoeningen bij oudere patienten.</w:t>
            </w:r>
          </w:p>
          <w:p w:rsidR="005F5EB9" w:rsidRPr="00D35DC6" w:rsidRDefault="005F5EB9" w:rsidP="00EB2D38">
            <w:pPr>
              <w:pStyle w:val="Geenafstand"/>
              <w:rPr>
                <w:rFonts w:ascii="Arial" w:hAnsi="Arial" w:cs="Arial"/>
                <w:szCs w:val="20"/>
                <w:bdr w:val="nil"/>
                <w:lang w:val="pt-PT" w:eastAsia="nl-NL"/>
              </w:rPr>
            </w:pPr>
            <w:r w:rsidRPr="00D35DC6">
              <w:rPr>
                <w:rFonts w:ascii="Arial" w:hAnsi="Arial" w:cs="Arial"/>
                <w:szCs w:val="20"/>
                <w:bdr w:val="nil"/>
                <w:lang w:val="pt-PT" w:eastAsia="nl-NL"/>
              </w:rPr>
              <w:t>Je rondt de stage af door middel van een eindpresentatie voor de geriaters en neurologen tijdens het gezamelijk onderwijs op vrijdag.</w:t>
            </w:r>
          </w:p>
        </w:tc>
      </w:tr>
      <w:tr w:rsidR="005F5EB9" w:rsidRPr="00D35DC6" w:rsidTr="00D35DC6">
        <w:trPr>
          <w:trHeight w:val="250"/>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b/>
                <w:color w:val="000000"/>
                <w:sz w:val="20"/>
                <w:szCs w:val="20"/>
                <w:u w:color="000000"/>
                <w:bdr w:val="nil"/>
                <w:lang w:val="pt-PT" w:eastAsia="nl-NL"/>
              </w:rPr>
            </w:pPr>
            <w:r w:rsidRPr="00D35DC6">
              <w:rPr>
                <w:rFonts w:ascii="Arial" w:hAnsi="Arial" w:cs="Arial"/>
                <w:b/>
                <w:color w:val="000000"/>
                <w:sz w:val="20"/>
                <w:szCs w:val="20"/>
                <w:u w:color="000000"/>
                <w:bdr w:val="nil"/>
                <w:lang w:val="pt-PT" w:eastAsia="nl-NL"/>
              </w:rPr>
              <w:t>Feedback en beoordeling</w:t>
            </w:r>
          </w:p>
        </w:tc>
        <w:tc>
          <w:tcPr>
            <w:tcW w:w="6318" w:type="dxa"/>
            <w:shd w:val="clear" w:color="auto" w:fill="auto"/>
            <w:tcMar>
              <w:top w:w="80" w:type="dxa"/>
              <w:left w:w="80" w:type="dxa"/>
              <w:bottom w:w="80" w:type="dxa"/>
              <w:right w:w="80" w:type="dxa"/>
            </w:tcMar>
          </w:tcPr>
          <w:p w:rsidR="005F5EB9" w:rsidRPr="00D35DC6" w:rsidRDefault="005F5EB9" w:rsidP="00EB2D38">
            <w:pPr>
              <w:pStyle w:val="Geenafstand"/>
              <w:rPr>
                <w:rFonts w:ascii="Arial" w:hAnsi="Arial" w:cs="Arial"/>
                <w:szCs w:val="20"/>
                <w:bdr w:val="nil"/>
                <w:lang w:val="pt-PT" w:eastAsia="nl-NL"/>
              </w:rPr>
            </w:pPr>
            <w:r w:rsidRPr="00D35DC6">
              <w:rPr>
                <w:rFonts w:ascii="Arial" w:hAnsi="Arial" w:cs="Arial"/>
                <w:szCs w:val="20"/>
                <w:bdr w:val="nil"/>
                <w:lang w:val="pt-PT" w:eastAsia="nl-NL"/>
              </w:rPr>
              <w:t xml:space="preserve">Drie momenten met deelopleider en opleider geriatrie, na bespreking met supervisoren om de voortgang van de stage te monitoren en indien nodig bij te sturen. </w:t>
            </w:r>
          </w:p>
          <w:p w:rsidR="005F5EB9" w:rsidRPr="00D35DC6" w:rsidRDefault="005F5EB9" w:rsidP="00D35DC6">
            <w:pPr>
              <w:pStyle w:val="Geenafstand"/>
              <w:rPr>
                <w:rFonts w:ascii="Arial" w:eastAsia="Arial" w:hAnsi="Arial" w:cs="Arial"/>
                <w:color w:val="000000"/>
                <w:szCs w:val="20"/>
                <w:u w:color="000000"/>
                <w:bdr w:val="nil"/>
                <w:lang w:val="pt-PT" w:eastAsia="nl-NL"/>
              </w:rPr>
            </w:pPr>
            <w:r w:rsidRPr="00D35DC6">
              <w:rPr>
                <w:rFonts w:ascii="Arial" w:hAnsi="Arial" w:cs="Arial"/>
                <w:szCs w:val="20"/>
                <w:bdr w:val="nil"/>
                <w:lang w:val="pt-PT" w:eastAsia="nl-NL"/>
              </w:rPr>
              <w:t>Bij de start van je polikliniekstage stel je je leerdoelen vast in je IOP en je maakt met de opleider afspraken over de benodigde ondersteuning, feedback-en beoordelingsinstrumenten en de frequentie van het contact met deelopleider en supervisor op de poli. In prinicipe is er een evaluatie na 1 maand, halverwege de stage en een beoordeling aan het einde van de periode.</w:t>
            </w:r>
          </w:p>
        </w:tc>
      </w:tr>
      <w:tr w:rsidR="005F5EB9" w:rsidRPr="00D35DC6" w:rsidTr="00D35DC6">
        <w:trPr>
          <w:trHeight w:val="250"/>
        </w:trPr>
        <w:tc>
          <w:tcPr>
            <w:tcW w:w="2164" w:type="dxa"/>
            <w:shd w:val="clear" w:color="auto" w:fill="auto"/>
            <w:tcMar>
              <w:top w:w="80" w:type="dxa"/>
              <w:left w:w="80" w:type="dxa"/>
              <w:bottom w:w="80" w:type="dxa"/>
              <w:right w:w="80" w:type="dxa"/>
            </w:tcMar>
          </w:tcPr>
          <w:p w:rsidR="005F5EB9" w:rsidRPr="00D35DC6" w:rsidRDefault="005F5EB9" w:rsidP="00EB2D38">
            <w:pPr>
              <w:pBdr>
                <w:top w:val="nil"/>
                <w:left w:val="nil"/>
                <w:bottom w:val="nil"/>
                <w:right w:val="nil"/>
                <w:between w:val="nil"/>
                <w:bar w:val="nil"/>
              </w:pBdr>
              <w:spacing w:after="0" w:line="240" w:lineRule="auto"/>
              <w:jc w:val="right"/>
              <w:rPr>
                <w:rFonts w:ascii="Arial" w:hAnsi="Arial" w:cs="Arial"/>
                <w:b/>
                <w:color w:val="000000"/>
                <w:sz w:val="20"/>
                <w:szCs w:val="20"/>
                <w:u w:color="000000"/>
                <w:bdr w:val="nil"/>
                <w:lang w:val="pt-PT" w:eastAsia="nl-NL"/>
              </w:rPr>
            </w:pPr>
            <w:r w:rsidRPr="00D35DC6">
              <w:rPr>
                <w:rFonts w:ascii="Arial" w:hAnsi="Arial" w:cs="Arial"/>
                <w:b/>
                <w:color w:val="000000"/>
                <w:sz w:val="20"/>
                <w:szCs w:val="20"/>
                <w:u w:color="000000"/>
                <w:bdr w:val="nil"/>
                <w:lang w:val="pt-PT" w:eastAsia="nl-NL"/>
              </w:rPr>
              <w:t>Aanmelden</w:t>
            </w:r>
          </w:p>
        </w:tc>
        <w:tc>
          <w:tcPr>
            <w:tcW w:w="6318" w:type="dxa"/>
            <w:shd w:val="clear" w:color="auto" w:fill="auto"/>
            <w:tcMar>
              <w:top w:w="80" w:type="dxa"/>
              <w:left w:w="80" w:type="dxa"/>
              <w:bottom w:w="80" w:type="dxa"/>
              <w:right w:w="80" w:type="dxa"/>
            </w:tcMar>
          </w:tcPr>
          <w:p w:rsidR="005F5EB9" w:rsidRPr="00D35DC6" w:rsidRDefault="005F5EB9" w:rsidP="00D35DC6">
            <w:pPr>
              <w:pStyle w:val="Geenafstand"/>
              <w:rPr>
                <w:rFonts w:ascii="Arial" w:eastAsia="Arial" w:hAnsi="Arial" w:cs="Arial"/>
                <w:szCs w:val="20"/>
                <w:u w:color="000000"/>
                <w:bdr w:val="nil"/>
                <w:lang w:val="pt-PT" w:eastAsia="nl-NL"/>
              </w:rPr>
            </w:pPr>
            <w:r w:rsidRPr="00D35DC6">
              <w:rPr>
                <w:rFonts w:ascii="Arial" w:hAnsi="Arial" w:cs="Arial"/>
                <w:szCs w:val="20"/>
                <w:bdr w:val="nil"/>
                <w:lang w:val="pt-PT" w:eastAsia="nl-NL"/>
              </w:rPr>
              <w:t xml:space="preserve">Spaarne Gasthuis: Mw. </w:t>
            </w:r>
            <w:r w:rsidR="00D35DC6">
              <w:rPr>
                <w:rFonts w:ascii="Arial" w:hAnsi="Arial" w:cs="Arial"/>
                <w:szCs w:val="20"/>
                <w:bdr w:val="nil"/>
                <w:lang w:val="pt-PT" w:eastAsia="nl-NL"/>
              </w:rPr>
              <w:t xml:space="preserve">Dr. M. Eurelings: </w:t>
            </w:r>
            <w:hyperlink r:id="rId7" w:history="1">
              <w:r w:rsidR="00D35DC6" w:rsidRPr="0051240A">
                <w:rPr>
                  <w:rStyle w:val="Hyperlink"/>
                  <w:rFonts w:ascii="Arial" w:hAnsi="Arial" w:cs="Arial"/>
                  <w:szCs w:val="20"/>
                  <w:bdr w:val="nil"/>
                  <w:lang w:val="pt-PT" w:eastAsia="nl-NL"/>
                </w:rPr>
                <w:t>meurelings@spaarnegasthuis.nl</w:t>
              </w:r>
            </w:hyperlink>
            <w:r w:rsidR="00D35DC6">
              <w:rPr>
                <w:rFonts w:ascii="Arial" w:hAnsi="Arial" w:cs="Arial"/>
                <w:szCs w:val="20"/>
                <w:bdr w:val="nil"/>
                <w:lang w:val="pt-PT" w:eastAsia="nl-NL"/>
              </w:rPr>
              <w:t xml:space="preserve"> </w:t>
            </w:r>
            <w:r w:rsidRPr="00D35DC6">
              <w:rPr>
                <w:rFonts w:ascii="Arial" w:hAnsi="Arial" w:cs="Arial"/>
                <w:szCs w:val="20"/>
                <w:bdr w:val="nil"/>
                <w:lang w:val="pt-PT" w:eastAsia="nl-NL"/>
              </w:rPr>
              <w:t xml:space="preserve"> </w:t>
            </w:r>
            <w:r w:rsidR="00D35DC6">
              <w:rPr>
                <w:rFonts w:ascii="Arial" w:hAnsi="Arial" w:cs="Arial"/>
                <w:szCs w:val="20"/>
                <w:bdr w:val="nil"/>
                <w:lang w:val="pt-PT" w:eastAsia="nl-NL"/>
              </w:rPr>
              <w:t xml:space="preserve"> </w:t>
            </w:r>
          </w:p>
        </w:tc>
      </w:tr>
    </w:tbl>
    <w:p w:rsidR="005F5EB9" w:rsidRPr="00D35DC6" w:rsidRDefault="005F5EB9" w:rsidP="005F5EB9">
      <w:pPr>
        <w:rPr>
          <w:rFonts w:ascii="Arial" w:hAnsi="Arial" w:cs="Arial"/>
          <w:sz w:val="20"/>
          <w:szCs w:val="20"/>
          <w:lang w:val="pt-PT"/>
        </w:rPr>
      </w:pPr>
    </w:p>
    <w:p w:rsidR="00D55822" w:rsidRPr="00D35DC6" w:rsidRDefault="00D55822">
      <w:pPr>
        <w:rPr>
          <w:rFonts w:ascii="Arial" w:hAnsi="Arial" w:cs="Arial"/>
          <w:sz w:val="20"/>
          <w:szCs w:val="20"/>
          <w:lang w:val="pt-PT"/>
        </w:rPr>
      </w:pPr>
    </w:p>
    <w:sectPr w:rsidR="00D55822" w:rsidRPr="00D35DC6" w:rsidSect="00D558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82C" w:rsidRDefault="00DA182C" w:rsidP="00DA182C">
      <w:pPr>
        <w:spacing w:after="0" w:line="240" w:lineRule="auto"/>
      </w:pPr>
      <w:r>
        <w:separator/>
      </w:r>
    </w:p>
  </w:endnote>
  <w:endnote w:type="continuationSeparator" w:id="0">
    <w:p w:rsidR="00DA182C" w:rsidRDefault="00DA182C" w:rsidP="00DA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82C" w:rsidRDefault="00DA182C" w:rsidP="00DA182C">
      <w:pPr>
        <w:spacing w:after="0" w:line="240" w:lineRule="auto"/>
      </w:pPr>
      <w:r>
        <w:separator/>
      </w:r>
    </w:p>
  </w:footnote>
  <w:footnote w:type="continuationSeparator" w:id="0">
    <w:p w:rsidR="00DA182C" w:rsidRDefault="00DA182C" w:rsidP="00DA1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82C" w:rsidRDefault="00DA182C" w:rsidP="00DA182C">
    <w:pPr>
      <w:pStyle w:val="Koptekst"/>
      <w:jc w:val="center"/>
    </w:pPr>
    <w:r>
      <w:rPr>
        <w:noProof/>
        <w:lang w:eastAsia="nl-NL"/>
      </w:rPr>
      <w:drawing>
        <wp:inline distT="0" distB="0" distL="0" distR="0" wp14:anchorId="699F0F0C" wp14:editId="1611256A">
          <wp:extent cx="2400655" cy="684000"/>
          <wp:effectExtent l="0" t="0" r="0" b="190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pic:nvPicPr>
                <pic:blipFill>
                  <a:blip r:embed="rId1" cstate="print"/>
                  <a:srcRect/>
                  <a:stretch>
                    <a:fillRect/>
                  </a:stretch>
                </pic:blipFill>
                <pic:spPr bwMode="auto">
                  <a:xfrm>
                    <a:off x="0" y="0"/>
                    <a:ext cx="2400655" cy="684000"/>
                  </a:xfrm>
                  <a:prstGeom prst="rect">
                    <a:avLst/>
                  </a:prstGeom>
                  <a:noFill/>
                  <a:ln w="9525">
                    <a:noFill/>
                    <a:miter lim="800000"/>
                    <a:headEnd/>
                    <a:tailEnd/>
                  </a:ln>
                </pic:spPr>
              </pic:pic>
            </a:graphicData>
          </a:graphic>
        </wp:inline>
      </w:drawing>
    </w:r>
  </w:p>
  <w:p w:rsidR="00DA182C" w:rsidRPr="00DA182C" w:rsidRDefault="00DA182C" w:rsidP="00DA182C">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FC3"/>
    <w:multiLevelType w:val="hybridMultilevel"/>
    <w:tmpl w:val="676ACF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67D5463"/>
    <w:multiLevelType w:val="hybridMultilevel"/>
    <w:tmpl w:val="553C5550"/>
    <w:lvl w:ilvl="0" w:tplc="C99E6202">
      <w:start w:val="3"/>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254C7E"/>
    <w:multiLevelType w:val="hybridMultilevel"/>
    <w:tmpl w:val="80803EE6"/>
    <w:lvl w:ilvl="0" w:tplc="11D0C664">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6AF91578"/>
    <w:multiLevelType w:val="hybridMultilevel"/>
    <w:tmpl w:val="C2BC23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B9"/>
    <w:rsid w:val="00304A47"/>
    <w:rsid w:val="004E1B05"/>
    <w:rsid w:val="005F5EB9"/>
    <w:rsid w:val="006C1A5A"/>
    <w:rsid w:val="009A0EAD"/>
    <w:rsid w:val="00AD196A"/>
    <w:rsid w:val="00D35DC6"/>
    <w:rsid w:val="00D55822"/>
    <w:rsid w:val="00DA18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E22C"/>
  <w15:chartTrackingRefBased/>
  <w15:docId w15:val="{18359317-DF27-49A4-83B6-B578C810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5EB9"/>
    <w:pPr>
      <w:spacing w:after="160" w:line="259" w:lineRule="auto"/>
    </w:pPr>
  </w:style>
  <w:style w:type="paragraph" w:styleId="Kop3">
    <w:name w:val="heading 3"/>
    <w:basedOn w:val="Standaard"/>
    <w:next w:val="Standaard"/>
    <w:link w:val="Kop3Char"/>
    <w:uiPriority w:val="9"/>
    <w:unhideWhenUsed/>
    <w:qFormat/>
    <w:rsid w:val="005F5EB9"/>
    <w:pPr>
      <w:keepNext/>
      <w:keepLines/>
      <w:spacing w:before="40" w:after="0"/>
      <w:outlineLvl w:val="2"/>
    </w:pPr>
    <w:rPr>
      <w:rFonts w:ascii="Verdana" w:eastAsiaTheme="majorEastAsia" w:hAnsi="Verdana" w:cstheme="majorBidi"/>
      <w:b/>
      <w:color w:val="243F60"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F5EB9"/>
    <w:rPr>
      <w:rFonts w:ascii="Verdana" w:eastAsiaTheme="majorEastAsia" w:hAnsi="Verdana" w:cstheme="majorBidi"/>
      <w:b/>
      <w:color w:val="243F60" w:themeColor="accent1" w:themeShade="7F"/>
      <w:szCs w:val="24"/>
    </w:rPr>
  </w:style>
  <w:style w:type="paragraph" w:styleId="Geenafstand">
    <w:name w:val="No Spacing"/>
    <w:uiPriority w:val="1"/>
    <w:qFormat/>
    <w:rsid w:val="005F5EB9"/>
    <w:pPr>
      <w:spacing w:after="0" w:line="240" w:lineRule="auto"/>
    </w:pPr>
    <w:rPr>
      <w:sz w:val="20"/>
    </w:rPr>
  </w:style>
  <w:style w:type="character" w:styleId="Zwaar">
    <w:name w:val="Strong"/>
    <w:basedOn w:val="Standaardalinea-lettertype"/>
    <w:uiPriority w:val="22"/>
    <w:qFormat/>
    <w:rsid w:val="005F5EB9"/>
    <w:rPr>
      <w:rFonts w:ascii="Calibri" w:hAnsi="Calibri"/>
      <w:b/>
      <w:bCs/>
      <w:sz w:val="24"/>
    </w:rPr>
  </w:style>
  <w:style w:type="character" w:styleId="Hyperlink">
    <w:name w:val="Hyperlink"/>
    <w:basedOn w:val="Standaardalinea-lettertype"/>
    <w:uiPriority w:val="99"/>
    <w:unhideWhenUsed/>
    <w:rsid w:val="00D35DC6"/>
    <w:rPr>
      <w:color w:val="0000FF" w:themeColor="hyperlink"/>
      <w:u w:val="single"/>
    </w:rPr>
  </w:style>
  <w:style w:type="paragraph" w:styleId="Koptekst">
    <w:name w:val="header"/>
    <w:basedOn w:val="Standaard"/>
    <w:link w:val="KoptekstChar"/>
    <w:uiPriority w:val="99"/>
    <w:unhideWhenUsed/>
    <w:rsid w:val="00DA182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A182C"/>
  </w:style>
  <w:style w:type="paragraph" w:styleId="Voettekst">
    <w:name w:val="footer"/>
    <w:basedOn w:val="Standaard"/>
    <w:link w:val="VoettekstChar"/>
    <w:uiPriority w:val="99"/>
    <w:unhideWhenUsed/>
    <w:rsid w:val="00DA182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A1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urelings@spaarnegasthui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Spaarne Gasthuis</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EurelinM</dc:creator>
  <cp:keywords/>
  <dc:description/>
  <cp:lastModifiedBy>Born, Jirka</cp:lastModifiedBy>
  <cp:revision>3</cp:revision>
  <dcterms:created xsi:type="dcterms:W3CDTF">2018-11-29T21:21:00Z</dcterms:created>
  <dcterms:modified xsi:type="dcterms:W3CDTF">2019-01-10T15:01:00Z</dcterms:modified>
</cp:coreProperties>
</file>